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jc w:val="center"/>
        <w:rPr>
          <w:rFonts w:ascii="宋体" w:hAnsi="宋体" w:eastAsia="宋体" w:cs="宋体"/>
          <w:b w:val="0"/>
          <w:highlight w:val="none"/>
        </w:rPr>
      </w:pPr>
      <w:r>
        <w:rPr>
          <w:rFonts w:hint="eastAsia" w:ascii="宋体" w:hAnsi="宋体" w:eastAsia="宋体" w:cs="宋体"/>
          <w:b w:val="0"/>
          <w:highlight w:val="none"/>
        </w:rPr>
        <w:t>中小企业声明函（如适用）</w:t>
      </w:r>
    </w:p>
    <w:p>
      <w:pPr>
        <w:spacing w:line="360" w:lineRule="auto"/>
        <w:jc w:val="center"/>
        <w:rPr>
          <w:rFonts w:ascii="宋体" w:hAnsi="宋体" w:cs="宋体"/>
          <w:b/>
          <w:szCs w:val="21"/>
          <w:highlight w:val="none"/>
        </w:rPr>
      </w:pPr>
      <w:r>
        <w:rPr>
          <w:rFonts w:hint="eastAsia" w:ascii="宋体" w:hAnsi="宋体" w:cs="宋体"/>
          <w:b/>
          <w:szCs w:val="21"/>
          <w:highlight w:val="none"/>
        </w:rPr>
        <w:t>（投标人认为其为中小企业的应提交本函，并明确企业类型，否则评审时不能</w:t>
      </w:r>
      <w:r>
        <w:rPr>
          <w:rFonts w:hint="eastAsia" w:ascii="宋体" w:hAnsi="宋体" w:cs="宋体"/>
          <w:b/>
          <w:highlight w:val="none"/>
        </w:rPr>
        <w:t>享受</w:t>
      </w:r>
      <w:r>
        <w:rPr>
          <w:rFonts w:hint="eastAsia" w:ascii="宋体" w:hAnsi="宋体" w:cs="宋体"/>
          <w:b/>
          <w:szCs w:val="21"/>
          <w:highlight w:val="none"/>
        </w:rPr>
        <w:t>相应的价格扣除）</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lang w:eastAsia="zh-CN"/>
        </w:rPr>
        <w:t>工业</w:t>
      </w:r>
      <w:r>
        <w:rPr>
          <w:rFonts w:hint="eastAsia" w:ascii="宋体" w:hAnsi="宋体"/>
          <w:szCs w:val="21"/>
          <w:highlight w:val="none"/>
        </w:rPr>
        <w:t>行业；制造商为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人，营业收入</w:t>
      </w:r>
      <w:r>
        <w:rPr>
          <w:rFonts w:hint="eastAsia" w:ascii="宋体" w:hAnsi="宋体"/>
          <w:szCs w:val="21"/>
          <w:highlight w:val="none"/>
          <w:u w:val="single"/>
        </w:rPr>
        <w:t xml:space="preserve">      </w:t>
      </w:r>
      <w:r>
        <w:rPr>
          <w:rFonts w:hint="eastAsia" w:ascii="宋体" w:hAnsi="宋体"/>
          <w:szCs w:val="21"/>
          <w:highlight w:val="none"/>
        </w:rPr>
        <w:t>为万元，资产总额为</w:t>
      </w:r>
      <w:r>
        <w:rPr>
          <w:rFonts w:hint="eastAsia" w:ascii="宋体" w:hAnsi="宋体"/>
          <w:szCs w:val="21"/>
          <w:highlight w:val="none"/>
          <w:u w:val="single"/>
        </w:rPr>
        <w:t xml:space="preserve">      </w:t>
      </w:r>
      <w:r>
        <w:rPr>
          <w:rFonts w:hint="eastAsia" w:ascii="宋体" w:hAnsi="宋体"/>
          <w:szCs w:val="21"/>
          <w:highlight w:val="none"/>
        </w:rPr>
        <w:t>万元¹，属于</w:t>
      </w:r>
      <w:r>
        <w:rPr>
          <w:rFonts w:hint="eastAsia" w:ascii="宋体" w:hAnsi="宋体"/>
          <w:szCs w:val="21"/>
          <w:highlight w:val="none"/>
          <w:u w:val="single"/>
        </w:rPr>
        <w:t>（中型企业、小型企业、微型企业）</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lang w:eastAsia="zh-CN"/>
        </w:rPr>
        <w:t>工业</w:t>
      </w:r>
      <w:r>
        <w:rPr>
          <w:rFonts w:hint="eastAsia" w:ascii="宋体" w:hAnsi="宋体"/>
          <w:szCs w:val="21"/>
          <w:highlight w:val="none"/>
        </w:rPr>
        <w:t>行业；制造商为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万元¹，属于</w:t>
      </w:r>
      <w:r>
        <w:rPr>
          <w:rFonts w:hint="eastAsia" w:ascii="宋体" w:hAnsi="宋体"/>
          <w:szCs w:val="21"/>
          <w:highlight w:val="none"/>
          <w:u w:val="single"/>
        </w:rPr>
        <w:t>（中型企业、小型企业、微型企业）</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本企业对上述声明内容的真实性负责。如有虚假，将依法承担相应责任。 </w:t>
      </w:r>
    </w:p>
    <w:p>
      <w:pPr>
        <w:spacing w:line="360" w:lineRule="auto"/>
        <w:ind w:firstLine="420" w:firstLineChars="200"/>
        <w:rPr>
          <w:rFonts w:hint="eastAsia" w:ascii="宋体" w:hAnsi="宋体"/>
          <w:szCs w:val="21"/>
          <w:highlight w:val="none"/>
        </w:rPr>
      </w:pPr>
      <w:r>
        <w:rPr>
          <w:rFonts w:hint="eastAsia" w:ascii="宋体" w:hAnsi="宋体"/>
          <w:color w:val="auto"/>
          <w:szCs w:val="21"/>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 等政府采购有关法律法规规定追究相应责任</w:t>
      </w:r>
      <w:r>
        <w:rPr>
          <w:rFonts w:hint="eastAsia" w:ascii="宋体" w:hAnsi="宋体"/>
          <w:color w:val="auto"/>
          <w:szCs w:val="21"/>
          <w:highlight w:val="none"/>
          <w:lang w:eastAsia="zh-CN"/>
        </w:rPr>
        <w:t>。</w:t>
      </w:r>
    </w:p>
    <w:p>
      <w:pPr>
        <w:wordWrap w:val="0"/>
        <w:spacing w:line="360" w:lineRule="auto"/>
        <w:ind w:firstLine="420" w:firstLineChars="200"/>
        <w:jc w:val="right"/>
        <w:rPr>
          <w:rFonts w:hint="eastAsia" w:ascii="宋体" w:hAnsi="宋体"/>
          <w:szCs w:val="21"/>
          <w:highlight w:val="none"/>
        </w:rPr>
      </w:pP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投标人单位名称：   </w:t>
      </w: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日期：       </w:t>
      </w:r>
    </w:p>
    <w:p>
      <w:pPr>
        <w:spacing w:line="360" w:lineRule="auto"/>
        <w:ind w:firstLine="420" w:firstLineChars="200"/>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¹从业人员、营业收入、资产总额填报上一年度数据，无上一年度数据的新成立企业可不填报。</w:t>
      </w:r>
    </w:p>
    <w:p>
      <w:pPr>
        <w:pStyle w:val="2"/>
        <w:spacing w:line="360" w:lineRule="auto"/>
        <w:rPr>
          <w:rFonts w:hint="default"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注:所投产品所有的货物制造商需一一列明企业类型。</w:t>
      </w:r>
    </w:p>
    <w:p>
      <w:pPr>
        <w:adjustRightInd w:val="0"/>
        <w:snapToGrid w:val="0"/>
        <w:spacing w:before="0" w:after="0" w:line="360" w:lineRule="auto"/>
        <w:jc w:val="center"/>
        <w:outlineLvl w:val="9"/>
        <w:rPr>
          <w:rFonts w:hint="eastAsia" w:ascii="宋体" w:hAnsi="宋体" w:eastAsia="宋体" w:cs="宋体"/>
          <w:b w:val="0"/>
          <w:highlight w:val="none"/>
        </w:rPr>
      </w:pPr>
    </w:p>
    <w:p>
      <w:pPr>
        <w:pStyle w:val="3"/>
        <w:adjustRightInd w:val="0"/>
        <w:snapToGrid w:val="0"/>
        <w:spacing w:before="0" w:after="0" w:line="360" w:lineRule="auto"/>
        <w:jc w:val="center"/>
        <w:rPr>
          <w:rFonts w:ascii="宋体" w:hAnsi="宋体" w:eastAsia="宋体" w:cs="宋体"/>
          <w:b w:val="0"/>
          <w:highlight w:val="none"/>
        </w:rPr>
      </w:pPr>
      <w:r>
        <w:rPr>
          <w:rFonts w:hint="eastAsia" w:ascii="宋体" w:hAnsi="宋体" w:eastAsia="宋体" w:cs="宋体"/>
          <w:b w:val="0"/>
          <w:highlight w:val="none"/>
        </w:rPr>
        <w:t>监狱企业的证明文件（如适用）</w:t>
      </w:r>
    </w:p>
    <w:p>
      <w:pPr>
        <w:spacing w:line="360" w:lineRule="auto"/>
        <w:ind w:firstLine="308" w:firstLineChars="147"/>
        <w:rPr>
          <w:rFonts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说明：监狱企业参加政府采购活动时，应当提供由省级以上监狱管理局、戒毒管理局（含新疆生产建设兵团）出具的属于监狱企业的证明文件复印件，并加盖投标单位公章。</w:t>
      </w:r>
    </w:p>
    <w:p>
      <w:pPr>
        <w:spacing w:line="360" w:lineRule="auto"/>
        <w:ind w:firstLine="310" w:firstLineChars="147"/>
        <w:rPr>
          <w:rFonts w:ascii="宋体" w:hAnsi="宋体" w:cs="宋体"/>
          <w:b/>
          <w:highlight w:val="none"/>
        </w:rPr>
      </w:pPr>
    </w:p>
    <w:p>
      <w:pPr>
        <w:pStyle w:val="3"/>
        <w:adjustRightInd w:val="0"/>
        <w:snapToGrid w:val="0"/>
        <w:spacing w:before="0" w:after="0" w:line="360" w:lineRule="auto"/>
        <w:jc w:val="center"/>
        <w:rPr>
          <w:rFonts w:ascii="宋体" w:hAnsi="宋体" w:eastAsia="宋体" w:cs="宋体"/>
          <w:b w:val="0"/>
          <w:highlight w:val="none"/>
        </w:rPr>
      </w:pPr>
      <w:bookmarkStart w:id="0" w:name="OLE_LINK14"/>
      <w:bookmarkStart w:id="1" w:name="OLE_LINK13"/>
      <w:r>
        <w:rPr>
          <w:rFonts w:hint="eastAsia" w:ascii="宋体" w:hAnsi="宋体" w:eastAsia="宋体" w:cs="宋体"/>
          <w:b w:val="0"/>
          <w:highlight w:val="none"/>
        </w:rPr>
        <w:t>残疾人福利性单位声明函（如适用）</w:t>
      </w:r>
    </w:p>
    <w:bookmarkEnd w:id="0"/>
    <w:bookmarkEnd w:id="1"/>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pPr>
        <w:adjustRightInd w:val="0"/>
        <w:snapToGrid w:val="0"/>
        <w:spacing w:line="360" w:lineRule="auto"/>
        <w:ind w:firstLine="444" w:firstLineChars="200"/>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rPr>
        <w:t>投标人知悉《关于促进残疾人就业政府采购政策的通知》（财库〔2017〕141号）的规定，承诺提供的声明函内容是真实的，如提供声明函内容不实，则依法追究相关法律责任</w:t>
      </w:r>
      <w:r>
        <w:rPr>
          <w:rFonts w:hint="eastAsia" w:ascii="宋体" w:hAnsi="宋体" w:cs="宋体"/>
          <w:color w:val="auto"/>
          <w:spacing w:val="6"/>
          <w:szCs w:val="21"/>
          <w:highlight w:val="none"/>
          <w:lang w:eastAsia="zh-CN"/>
        </w:rPr>
        <w:t>。</w:t>
      </w:r>
    </w:p>
    <w:p>
      <w:pPr>
        <w:spacing w:line="240" w:lineRule="auto"/>
        <w:ind w:left="0" w:leftChars="0" w:right="0"/>
        <w:jc w:val="left"/>
        <w:rPr>
          <w:rFonts w:hint="eastAsia"/>
          <w:highlight w:val="none"/>
        </w:rPr>
      </w:pPr>
    </w:p>
    <w:p>
      <w:pPr>
        <w:tabs>
          <w:tab w:val="left" w:pos="4860"/>
        </w:tabs>
        <w:spacing w:line="360" w:lineRule="auto"/>
        <w:ind w:left="6237" w:leftChars="2970" w:right="108"/>
        <w:jc w:val="left"/>
        <w:rPr>
          <w:rFonts w:ascii="宋体" w:hAnsi="宋体" w:cs="宋体"/>
          <w:spacing w:val="6"/>
          <w:szCs w:val="21"/>
          <w:highlight w:val="none"/>
        </w:rPr>
      </w:pPr>
      <w:r>
        <w:rPr>
          <w:rFonts w:hint="eastAsia" w:ascii="宋体" w:hAnsi="宋体" w:cs="宋体"/>
          <w:spacing w:val="6"/>
          <w:szCs w:val="21"/>
          <w:highlight w:val="none"/>
        </w:rPr>
        <w:t>单位名称（盖章）：</w:t>
      </w:r>
    </w:p>
    <w:p>
      <w:pPr>
        <w:tabs>
          <w:tab w:val="left" w:pos="4860"/>
        </w:tabs>
        <w:spacing w:line="360" w:lineRule="auto"/>
        <w:ind w:left="6237" w:leftChars="2970" w:right="108"/>
        <w:jc w:val="left"/>
        <w:rPr>
          <w:rFonts w:hint="eastAsia" w:ascii="宋体" w:hAnsi="宋体" w:cs="宋体"/>
          <w:spacing w:val="6"/>
          <w:szCs w:val="21"/>
          <w:highlight w:val="none"/>
        </w:rPr>
      </w:pPr>
      <w:r>
        <w:rPr>
          <w:rFonts w:hint="eastAsia" w:ascii="宋体" w:hAnsi="宋体" w:cs="宋体"/>
          <w:spacing w:val="6"/>
          <w:szCs w:val="21"/>
          <w:highlight w:val="none"/>
        </w:rPr>
        <w:t>日  期：</w:t>
      </w:r>
    </w:p>
    <w:p>
      <w:pPr>
        <w:spacing w:line="240" w:lineRule="auto"/>
        <w:ind w:left="0" w:leftChars="0" w:right="0"/>
        <w:jc w:val="center"/>
        <w:rPr>
          <w:rStyle w:val="9"/>
          <w:rFonts w:hint="eastAsia"/>
          <w:b/>
          <w:bCs/>
          <w:highlight w:val="none"/>
          <w:lang w:val="en-US" w:eastAsia="zh-CN"/>
        </w:rPr>
      </w:pPr>
      <w:r>
        <w:rPr>
          <w:rFonts w:hint="eastAsia" w:ascii="宋体" w:hAnsi="宋体" w:cs="宋体"/>
          <w:spacing w:val="6"/>
          <w:szCs w:val="21"/>
          <w:highlight w:val="none"/>
        </w:rPr>
        <w:br w:type="page"/>
      </w:r>
      <w:r>
        <w:rPr>
          <w:rStyle w:val="9"/>
          <w:rFonts w:hint="eastAsia"/>
          <w:b/>
          <w:bCs/>
          <w:highlight w:val="none"/>
          <w:lang w:val="zh-CN"/>
        </w:rPr>
        <w:t>附件</w:t>
      </w:r>
      <w:r>
        <w:rPr>
          <w:rStyle w:val="9"/>
          <w:rFonts w:hint="eastAsia"/>
          <w:b/>
          <w:bCs/>
          <w:highlight w:val="none"/>
          <w:lang w:val="en-US" w:eastAsia="zh-CN"/>
        </w:rPr>
        <w:t>1：政府采购促进中小企业发展管理办法</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第一条 为了发挥政府采购的政策功能，促进中小企业健康发展，根据《中华人民共和国政府采购法》、《中华人民共和国中小企业促进法》等有关法律法规，制定本办法。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第三条 采购人在政府采购活动中应当通过加强采购需求管理，落实预留采购份额、价格评审优惠、优先采购等措施，提高中小企业在政府采购中的份额，支持中小企业发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第四条 在政府采购活动中，供应商提供的货物、工程或者服务符合下列情形的，享受本办法规定的中小企业扶持政策：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（一）在货物采购项目中，货物由中小企业制造，即货物由中小企业生产且使用该中小企业商号或者注册商标；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（二）在工程采购项目中，工程由中小企业承建，即工程施工单位为中小企业；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（一）法律法规和国家有关政策明确规定优先或者应当面向事业单位、社会组织等非企业主体采购的；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（二）因确需使用不可替代的专利、专有技术，基础设施限制，或者提供特定公共服务等原因，只能从中小企业之外的供应商处采购的；</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（三）按照本办法规定预留采购份额无法确保充分供应、充分竞争，或者存在可能影响政府采购目标实现的情形；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（四）框架协议采购项目；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（五）省级以上人民政府财政部门规定的其他情形。 除上述情形外，其他均为适宜由中小企业提供的情形。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第七条 采购限额标准以上，200 万元以下的货物和服务采购项目、400 万元以下的工程采购项目，适宜由中小企业提供的，采购人应当专门面向中小企业采购。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第八条 超过 200 万元的货物和服务采购项目、超过 400 万元的工程采购项目中适宜由中小企业提供的，预留该部分采购项目预算总额的 30%以上专门面向中小企业采购，其中预留给小微企业的比例不低于60%。预留份额通过下列措施进行：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（一）将采购项目整体或者设置采购包专门面向中小企业采购；</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（二）要求供应商以联合体形式参加采购活动，且联合体中中小企业承担的部分达到一定比例；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第十一条 中小企业参加政府采购活动，应当出具本办法规定的《中小企业声明函》（附 1），否则不得享受相关中小企业扶持政策。任何单位和个人不得要求供应商提供《中小企业声明函》之外的中小企业身份证明文件。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第十二条 采购项目涉及中小企业采购的，采购文件应当明确以下内容：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（一）预留份额的采购项目或者采购包，明确该项目或相关采购包专门面向中小企业采购，以及相关标的及预算金额；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（二）要求以联合体形式参加或者合同分包的，明确联合协议或者分包意向协议中中小企业合同金额应当达到的比例，并作为供应商资格条件；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（三）非预留份额的采购项目或者采购包，明确有关价格扣除比例或者价格分加分比例；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（四）规定依据本办法规定享受扶持政策获得政府采购合同的，小微企业不得将合同分包给大中型企业，中型企业不得将合同分包给大型企业；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（五）采购人认为具备相关条件的，明确对中小企业在资金支付期限、预付款比例等方面的优惠措施；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（六）明确采购标的对应的中小企业划分标准所属行业；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（七）法律法规和省级以上人民政府财政部门规定的其他事项。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第十三条 中标、成交供应商享受本办法规定的中小企业扶持政策的，采购人、采购代理机构应当随中标、成交结果公开中标、成交供应商的《中小企业声明函》。 适用招标投标法的政府采购工程建设项目，应当在公示中标候选人时公开中标候选人的《中小企业声明函》。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第十五条 鼓励各地区、各部门在采购活动中允许中小企业引入信用担保手段，为中小企业在投标（响应）保证、履约保证等方面提供专业化服务。鼓励中小企业依法合规通过政府采购合同融资。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第十七条 各地区、各部门应当对涉及中小企业采购的预算项目实施全过程绩效管理，合理设置绩效目标和指标，落实扶持中小企业有关政策要求，定期开展绩效监控和评价，强化绩效评价结果应用。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第二十二条 对外援助项目、国家相关资格或者资质管理制度另有规定的项目，不适用本办法。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第二十三条 关于视同中小企业的其他主体的政府采购扶持政策，由财政部会同有关部门另行规定。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第二十四条 省级财政部门可以会同中小企业主管部门根据本办法的规定制定具体实施办法。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第二十五条 本办法自 2021 年 1 月 1 日起施行。《财政部 工业和信息化部关于印发〈政府采购促进中小企业发展暂行办法〉的通知》（财库﹝2011﹞181 号）同时废止。 </w:t>
      </w:r>
    </w:p>
    <w:p>
      <w:pPr>
        <w:pStyle w:val="5"/>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3"/>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zh-CN"/>
        </w:rPr>
        <w:t>附件</w:t>
      </w:r>
      <w:r>
        <w:rPr>
          <w:rFonts w:hint="eastAsia" w:ascii="宋体" w:hAnsi="宋体" w:eastAsia="宋体" w:cs="宋体"/>
          <w:b/>
          <w:bCs/>
          <w:color w:val="auto"/>
          <w:spacing w:val="6"/>
          <w:sz w:val="24"/>
          <w:szCs w:val="24"/>
          <w:highlight w:val="none"/>
          <w:lang w:val="en-US" w:eastAsia="zh-CN"/>
        </w:rPr>
        <w:t>2：工信部联企业[2011]300号</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各省、自治区、直辖市人民政府，国务院各部委及有关单位：</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工业和信息化部 国家统计局</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国家发展和改革委员会 财政部</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二〇一一年六月十八日</w:t>
      </w:r>
    </w:p>
    <w:p>
      <w:pPr>
        <w:keepNext w:val="0"/>
        <w:keepLines w:val="0"/>
        <w:pageBreakBefore w:val="0"/>
        <w:kinsoku/>
        <w:overflowPunct/>
        <w:topLinePunct w:val="0"/>
        <w:autoSpaceDE/>
        <w:autoSpaceDN/>
        <w:bidi w:val="0"/>
        <w:adjustRightInd w:val="0"/>
        <w:snapToGrid w:val="0"/>
        <w:spacing w:line="360" w:lineRule="auto"/>
        <w:ind w:firstLine="223" w:firstLineChars="100"/>
        <w:jc w:val="center"/>
        <w:textAlignment w:val="auto"/>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中小企业划型标准规定：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一、根据《中华人民共和国中小企业促进法》和《国务院关于进一步促进中小企业发展的若干意见》(国发〔2009〕36号)，制定本规定。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二、中小企业划分为中型、小型、微型三种类型，具体标准根据企业从业人员、营业收入、资产总额等指标，结合行业特点制定。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四、各行业划型标准为：</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五、企业类型的划分以统计部门的统计数据为依据。</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六、本规定适用于在中华人民共和国境内依法设立的各类所有制和各种组织形式的企业。个体工商户和本规定以外的行业，参照本规定进行划型。</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八、本规定由工业和信息化部、国家统计局会同有关部门根据《国民经济行业分类》修订情况和企业发展变化情况适时修订。</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九、本规定由工业和信息化部、国家统计局会同有关部门负责解释。</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十、本规定自发布之日起执行，原国家经贸委、原国家计委、财政部和国家统计局2003年颁布的《中小企业标准暂行规定》同时废止。</w:t>
      </w:r>
    </w:p>
    <w:p>
      <w:pPr>
        <w:pStyle w:val="3"/>
        <w:rPr>
          <w:rStyle w:val="9"/>
          <w:rFonts w:cs="Times New Roman"/>
          <w:b/>
          <w:bCs/>
          <w:highlight w:val="none"/>
          <w:lang w:val="zh-CN"/>
        </w:rPr>
      </w:pPr>
      <w:r>
        <w:rPr>
          <w:rFonts w:hint="eastAsia"/>
          <w:highlight w:val="none"/>
          <w:lang w:val="en-US" w:eastAsia="zh-CN"/>
        </w:rPr>
        <w:br w:type="page"/>
      </w:r>
      <w:r>
        <w:rPr>
          <w:rStyle w:val="9"/>
          <w:rFonts w:cs="Times New Roman"/>
          <w:b/>
          <w:bCs/>
          <w:highlight w:val="none"/>
          <w:lang w:val="zh-CN"/>
        </w:rPr>
        <w:t>附件3：国家统计局关于印发《统计上大中小微型企业划分办法（2017）》的通知</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各省、自治区、直辖市统计局，新疆生产建设兵团统计局，国务院各有关部门，国家统计局各调查总队：</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附件：《统计上大中小微型企业划分办法（2017）》修订说明 </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国家统计局  </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2017年12月28日</w:t>
      </w:r>
    </w:p>
    <w:p>
      <w:pPr>
        <w:keepNext w:val="0"/>
        <w:keepLines w:val="0"/>
        <w:pageBreakBefore w:val="0"/>
        <w:kinsoku/>
        <w:overflowPunct/>
        <w:topLinePunct w:val="0"/>
        <w:autoSpaceDE/>
        <w:autoSpaceDN/>
        <w:bidi w:val="0"/>
        <w:adjustRightInd w:val="0"/>
        <w:snapToGrid w:val="0"/>
        <w:spacing w:line="360" w:lineRule="auto"/>
        <w:ind w:firstLine="506" w:firstLineChars="200"/>
        <w:jc w:val="center"/>
        <w:textAlignment w:val="auto"/>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统计上大中小微型企业划分办法（2017）</w:t>
      </w:r>
    </w:p>
    <w:p>
      <w:pPr>
        <w:keepNext w:val="0"/>
        <w:keepLines w:val="0"/>
        <w:pageBreakBefore w:val="0"/>
        <w:kinsoku/>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4"/>
          <w:szCs w:val="24"/>
          <w:highlight w:val="none"/>
          <w:lang w:val="en-US" w:eastAsia="zh-CN"/>
        </w:rPr>
        <w:t>　</w:t>
      </w:r>
      <w:r>
        <w:rPr>
          <w:rFonts w:hint="eastAsia" w:ascii="宋体" w:hAnsi="宋体" w:eastAsia="宋体" w:cs="宋体"/>
          <w:color w:val="auto"/>
          <w:spacing w:val="6"/>
          <w:sz w:val="21"/>
          <w:szCs w:val="21"/>
          <w:highlight w:val="none"/>
          <w:lang w:val="en-US" w:eastAsia="zh-CN"/>
        </w:rPr>
        <w:t>　一、根据工业和信息化部、国家统计局、国家发展改革委、财政部《关于印发中小企业划型标准规定的通知》（工信部联企业〔2011〕300号），以《国民经济行业分类》（GB/T4754-2017）为基础，结合统计工作的实际情况，制定本办法。</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二、本办法适用对象为在中华人民共和国境内依法设立的各种组织形式的法人企业或单位。个体工商户参照本办法进行划分。</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四、本办法按照行业门类、大类、中类和组合类别，依据从业人员、营业收入、资产总额等指标或替代指标，将我国的企业划分为大型、中型、小型、微型等四种类型。具体划分标准见附表。</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五、企业划分由政府综合统计部门根据统计年报每年确定一次，定报统计原则上不进行调整。</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六、本办法自印发之日起执行，国家统计局2011年印发的《统计上大中小微型企业划分办法》（国统字〔2011〕75号）同时废止。</w:t>
      </w:r>
    </w:p>
    <w:p>
      <w:pPr>
        <w:keepNext w:val="0"/>
        <w:keepLines w:val="0"/>
        <w:pageBreakBefore w:val="0"/>
        <w:kinsoku/>
        <w:overflowPunct/>
        <w:topLinePunct w:val="0"/>
        <w:autoSpaceDE/>
        <w:autoSpaceDN/>
        <w:bidi w:val="0"/>
        <w:adjustRightInd w:val="0"/>
        <w:snapToGrid w:val="0"/>
        <w:spacing w:line="360" w:lineRule="auto"/>
        <w:ind w:firstLine="446" w:firstLineChars="200"/>
        <w:jc w:val="center"/>
        <w:textAlignment w:val="auto"/>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附表：统计上大中小微型企业划分标准</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236"/>
        <w:gridCol w:w="747"/>
        <w:gridCol w:w="909"/>
        <w:gridCol w:w="1536"/>
        <w:gridCol w:w="1287"/>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11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b/>
                <w:bCs/>
                <w:color w:val="auto"/>
                <w:kern w:val="0"/>
                <w:sz w:val="21"/>
                <w:szCs w:val="21"/>
                <w:highlight w:val="none"/>
              </w:rPr>
              <w:t>单位</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 w:leftChars="-1" w:hanging="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 w:leftChars="-1" w:hanging="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 w:leftChars="-1" w:hanging="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 *</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2"/>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11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7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43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53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9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75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2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说明：</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1.大型、中型和小型企业须同时满足所列指标的下限，否则下划一档；微型企业只须满足所列指标中的一项即可。</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rPr>
          <w:rStyle w:val="9"/>
          <w:rFonts w:cs="Times New Roman"/>
          <w:b/>
          <w:bCs/>
          <w:highlight w:val="none"/>
          <w:lang w:val="zh-CN"/>
        </w:rPr>
      </w:pPr>
      <w:r>
        <w:rPr>
          <w:rFonts w:hint="eastAsia"/>
          <w:highlight w:val="none"/>
          <w:lang w:val="en-US" w:eastAsia="zh-CN"/>
        </w:rPr>
        <w:br w:type="page"/>
      </w:r>
      <w:r>
        <w:rPr>
          <w:rStyle w:val="9"/>
          <w:rFonts w:cs="Times New Roman"/>
          <w:b/>
          <w:bCs/>
          <w:highlight w:val="none"/>
          <w:lang w:val="zh-CN"/>
        </w:rPr>
        <w:t>附件4：关于促进残疾人就业政府采购政策的通知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为了发挥政府采购促进残疾人就业的作用，进一步保障残疾人权益，依照《政府采购法》、《残疾人保障法》等法律法规及相关规定，现就促进残疾人就业政府采购政策通知如下：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一、享受政府采购支持政策的残疾人福利性单位应当同时满足以下条件：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(一) 安置的残疾人占本单位在职职工人数的比例不低于25%(含25%)，并且安置的残疾人人数不少于10人(含10人)；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(二) 依法与安置的每位残疾人签订了一年以上(含一年)的劳动合同或服务协议；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(三) 为安置的每位残疾人按月足额缴纳了基本养老保险、基本医疗保险、失业保险、工伤保险和生育保险等社会保险费；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(四) 通过银行等金融机构向安置的每位残疾人，按月支付了不低于单位所在区县适用的经省级人民政府批准的月最低工资标准的工资；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(五) 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中标、成交供应商为残疾人福利性单位的，采购人或者其委托的采购代理机构应当随中标、成交结果同时公告其《残疾人福利性单位声明函》，接受社会监督。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供应商提供的《残疾人福利性单位声明函》与事实不符的，依照《政府采购法》第七十七条第一款的规定追究法律责任。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四、采购人采购公开招标数额标准以上的货物或者服务，因落实促进残疾人就业政策的需要，依法履行有关报批程序后，可采用公开招标以外的采购方式。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七、本通知自</w:t>
      </w:r>
      <w:r>
        <w:rPr>
          <w:rStyle w:val="8"/>
          <w:rFonts w:hint="eastAsia" w:ascii="宋体" w:hAnsi="宋体" w:eastAsia="宋体" w:cs="宋体"/>
          <w:i w:val="0"/>
          <w:iCs w:val="0"/>
          <w:caps w:val="0"/>
          <w:color w:val="auto"/>
          <w:spacing w:val="0"/>
          <w:kern w:val="0"/>
          <w:sz w:val="21"/>
          <w:szCs w:val="21"/>
          <w:highlight w:val="none"/>
          <w:lang w:val="en-US" w:eastAsia="zh-CN" w:bidi="ar"/>
        </w:rPr>
        <w:t>2017年10月1日</w:t>
      </w:r>
      <w:r>
        <w:rPr>
          <w:rFonts w:hint="eastAsia" w:ascii="宋体" w:hAnsi="宋体" w:eastAsia="宋体" w:cs="宋体"/>
          <w:i w:val="0"/>
          <w:iCs w:val="0"/>
          <w:caps w:val="0"/>
          <w:color w:val="auto"/>
          <w:spacing w:val="0"/>
          <w:kern w:val="0"/>
          <w:sz w:val="21"/>
          <w:szCs w:val="21"/>
          <w:highlight w:val="none"/>
          <w:lang w:val="en-US" w:eastAsia="zh-CN" w:bidi="ar"/>
        </w:rPr>
        <w:t>起执行。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righ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财政部 民政部 中国残疾人联合会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right"/>
        <w:textAlignment w:val="auto"/>
        <w:rPr>
          <w:rFonts w:hint="eastAsia" w:ascii="宋体" w:hAnsi="宋体" w:cs="宋体"/>
          <w:color w:val="auto"/>
          <w:spacing w:val="6"/>
          <w:sz w:val="21"/>
          <w:szCs w:val="21"/>
          <w:highlight w:val="none"/>
          <w:lang w:val="zh-CN"/>
        </w:rPr>
      </w:pPr>
      <w:r>
        <w:rPr>
          <w:rFonts w:hint="eastAsia" w:ascii="宋体" w:hAnsi="宋体" w:eastAsia="宋体" w:cs="宋体"/>
          <w:i w:val="0"/>
          <w:iCs w:val="0"/>
          <w:caps w:val="0"/>
          <w:color w:val="auto"/>
          <w:spacing w:val="0"/>
          <w:kern w:val="0"/>
          <w:sz w:val="21"/>
          <w:szCs w:val="21"/>
          <w:highlight w:val="none"/>
          <w:lang w:val="en-US" w:eastAsia="zh-CN" w:bidi="ar"/>
        </w:rPr>
        <w:t>　　2017年8月22日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ZjE0MTQxNzc3YWFjYmEyZWIxYTA0MTE4NTcwYTgifQ=="/>
  </w:docVars>
  <w:rsids>
    <w:rsidRoot w:val="3AC64E4E"/>
    <w:rsid w:val="3AC6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5" w:lineRule="auto"/>
      <w:jc w:val="center"/>
      <w:outlineLvl w:val="1"/>
    </w:pPr>
    <w:rPr>
      <w:rFonts w:ascii="Arial" w:hAnsi="Arial"/>
      <w:b/>
      <w:sz w:val="32"/>
      <w:szCs w:val="32"/>
      <w:lang w:val="zh-CN"/>
    </w:rPr>
  </w:style>
  <w:style w:type="paragraph" w:styleId="4">
    <w:name w:val="heading 4"/>
    <w:basedOn w:val="1"/>
    <w:next w:val="1"/>
    <w:link w:val="9"/>
    <w:unhideWhenUsed/>
    <w:qFormat/>
    <w:uiPriority w:val="0"/>
    <w:pPr>
      <w:keepNext/>
      <w:keepLines/>
      <w:widowControl/>
      <w:spacing w:before="280" w:after="290" w:line="374" w:lineRule="auto"/>
      <w:jc w:val="left"/>
      <w:outlineLvl w:val="3"/>
    </w:pPr>
    <w:rPr>
      <w:rFonts w:ascii="Arial" w:hAnsi="Arial" w:eastAsia="黑体"/>
      <w:b/>
      <w:bCs/>
      <w:kern w:val="0"/>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unhideWhenUsed/>
    <w:qFormat/>
    <w:uiPriority w:val="99"/>
    <w:rPr>
      <w:rFonts w:ascii="Calibri" w:hAnsi="Calibri" w:cs="Times New Roman"/>
      <w:sz w:val="18"/>
      <w:szCs w:val="22"/>
    </w:rPr>
  </w:style>
  <w:style w:type="paragraph" w:styleId="5">
    <w:name w:val="Body Text"/>
    <w:basedOn w:val="1"/>
    <w:next w:val="1"/>
    <w:unhideWhenUsed/>
    <w:qFormat/>
    <w:uiPriority w:val="99"/>
    <w:pPr>
      <w:spacing w:after="120"/>
    </w:pPr>
  </w:style>
  <w:style w:type="character" w:styleId="8">
    <w:name w:val="Strong"/>
    <w:basedOn w:val="7"/>
    <w:qFormat/>
    <w:uiPriority w:val="22"/>
    <w:rPr>
      <w:b/>
      <w:bCs/>
    </w:rPr>
  </w:style>
  <w:style w:type="character" w:customStyle="1" w:styleId="9">
    <w:name w:val="标题 4 Char1"/>
    <w:link w:val="4"/>
    <w:qFormat/>
    <w:uiPriority w:val="0"/>
    <w:rPr>
      <w:rFonts w:ascii="Arial" w:hAnsi="Arial" w:eastAsia="黑体"/>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2022-06-27T10:26:00Z</dcterms:created>
  <dc:creator>深圳市正德招标代理有限公司</dc:creator>
  <cp:lastModifiedBy>深圳市正德招标代理有限公司</cp:lastModifiedBy>
  <dcterms:modified xsi:type="dcterms:W3CDTF">2022-06-27T10:28:48Z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AEF7328DAF054450BBA9AE946342DEF4</vt:lpwstr>
  </property>
</Properties>
</file>