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spacing w:before="0" w:after="0" w:line="360" w:lineRule="auto"/>
        <w:rPr>
          <w:rFonts w:ascii="宋体" w:hAnsi="宋体" w:cs="宋体"/>
          <w:b w:val="0"/>
          <w:highlight w:val="none"/>
        </w:rPr>
      </w:pPr>
      <w:r>
        <w:rPr>
          <w:rFonts w:hint="eastAsia" w:ascii="宋体" w:hAnsi="宋体" w:cs="宋体"/>
          <w:bCs/>
          <w:highlight w:val="none"/>
        </w:rPr>
        <w:t>中小企业声明函（如适用）</w:t>
      </w:r>
    </w:p>
    <w:p>
      <w:pPr>
        <w:spacing w:line="360" w:lineRule="auto"/>
        <w:jc w:val="center"/>
        <w:rPr>
          <w:rFonts w:ascii="宋体" w:hAnsi="宋体" w:cs="宋体"/>
          <w:b/>
          <w:szCs w:val="21"/>
          <w:highlight w:val="none"/>
        </w:rPr>
      </w:pPr>
      <w:r>
        <w:rPr>
          <w:rFonts w:hint="eastAsia" w:ascii="宋体" w:hAnsi="宋体" w:cs="宋体"/>
          <w:b/>
          <w:szCs w:val="21"/>
          <w:highlight w:val="none"/>
        </w:rPr>
        <w:t>（投标人认为其为中小企业的应提交本函，并明确企业类型，否则评审时不能</w:t>
      </w:r>
      <w:r>
        <w:rPr>
          <w:rFonts w:hint="eastAsia" w:ascii="宋体" w:hAnsi="宋体" w:cs="宋体"/>
          <w:b/>
          <w:highlight w:val="none"/>
        </w:rPr>
        <w:t>享受</w:t>
      </w:r>
      <w:r>
        <w:rPr>
          <w:rFonts w:hint="eastAsia" w:ascii="宋体" w:hAnsi="宋体" w:cs="宋体"/>
          <w:b/>
          <w:szCs w:val="21"/>
          <w:highlight w:val="none"/>
        </w:rPr>
        <w:t>相应的价格扣除）</w:t>
      </w:r>
    </w:p>
    <w:p>
      <w:pPr>
        <w:spacing w:line="360" w:lineRule="auto"/>
        <w:ind w:firstLine="420" w:firstLineChars="200"/>
        <w:rPr>
          <w:rFonts w:hint="eastAsia" w:ascii="宋体" w:hAnsi="宋体"/>
          <w:szCs w:val="21"/>
          <w:highlight w:val="none"/>
        </w:rPr>
      </w:pPr>
      <w:r>
        <w:rPr>
          <w:rFonts w:hint="eastAsia" w:ascii="宋体" w:hAnsi="宋体"/>
          <w:szCs w:val="21"/>
          <w:highlight w:val="none"/>
        </w:rPr>
        <w:t>本公司（联合体）郑重声明，根据《政府采购促进中小企业发展管理办法》（财库﹝2020﹞46 号）的规定，本公司（联合体）参加</w:t>
      </w:r>
      <w:r>
        <w:rPr>
          <w:rFonts w:hint="eastAsia" w:ascii="宋体" w:hAnsi="宋体"/>
          <w:szCs w:val="21"/>
          <w:highlight w:val="none"/>
          <w:u w:val="single"/>
        </w:rPr>
        <w:t>（单位名称）</w:t>
      </w:r>
      <w:r>
        <w:rPr>
          <w:rFonts w:hint="eastAsia" w:ascii="宋体" w:hAnsi="宋体"/>
          <w:szCs w:val="21"/>
          <w:highlight w:val="none"/>
        </w:rPr>
        <w:t>的</w:t>
      </w:r>
      <w:r>
        <w:rPr>
          <w:rFonts w:hint="eastAsia" w:ascii="宋体" w:hAnsi="宋体"/>
          <w:szCs w:val="21"/>
          <w:highlight w:val="none"/>
          <w:u w:val="single"/>
        </w:rPr>
        <w:t>（项目名称）</w:t>
      </w:r>
      <w:r>
        <w:rPr>
          <w:rFonts w:hint="eastAsia" w:ascii="宋体" w:hAnsi="宋体"/>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u w:val="single"/>
        </w:rPr>
        <w:t xml:space="preserve"> （标的名称） </w:t>
      </w:r>
      <w:r>
        <w:rPr>
          <w:rFonts w:hint="eastAsia" w:ascii="宋体" w:hAnsi="宋体"/>
          <w:szCs w:val="21"/>
          <w:highlight w:val="none"/>
        </w:rPr>
        <w:t>，属于</w:t>
      </w:r>
      <w:r>
        <w:rPr>
          <w:rFonts w:hint="eastAsia" w:ascii="宋体" w:hAnsi="宋体"/>
          <w:szCs w:val="21"/>
          <w:highlight w:val="none"/>
          <w:u w:val="single"/>
        </w:rPr>
        <w:t xml:space="preserve"> </w:t>
      </w:r>
      <w:r>
        <w:rPr>
          <w:rFonts w:hint="eastAsia" w:ascii="宋体" w:hAnsi="宋体"/>
          <w:szCs w:val="21"/>
          <w:highlight w:val="none"/>
          <w:u w:val="single"/>
          <w:lang w:eastAsia="zh-CN"/>
        </w:rPr>
        <w:t>物业管理</w:t>
      </w:r>
      <w:r>
        <w:rPr>
          <w:rFonts w:hint="eastAsia" w:ascii="宋体" w:hAnsi="宋体"/>
          <w:szCs w:val="21"/>
          <w:highlight w:val="none"/>
          <w:u w:val="single"/>
        </w:rPr>
        <w:t xml:space="preserve"> </w:t>
      </w:r>
      <w:r>
        <w:rPr>
          <w:rFonts w:hint="eastAsia" w:ascii="宋体" w:hAnsi="宋体"/>
          <w:szCs w:val="21"/>
          <w:highlight w:val="none"/>
        </w:rPr>
        <w:t>；承建（承接）企业为</w:t>
      </w:r>
      <w:r>
        <w:rPr>
          <w:rFonts w:hint="eastAsia" w:ascii="宋体" w:hAnsi="宋体"/>
          <w:szCs w:val="21"/>
          <w:highlight w:val="none"/>
          <w:u w:val="single"/>
        </w:rPr>
        <w:t>（企业名称）</w:t>
      </w:r>
      <w:r>
        <w:rPr>
          <w:rFonts w:hint="eastAsia" w:ascii="宋体" w:hAnsi="宋体"/>
          <w:szCs w:val="21"/>
          <w:highlight w:val="none"/>
        </w:rPr>
        <w:t>，从业人员</w:t>
      </w:r>
      <w:r>
        <w:rPr>
          <w:rFonts w:hint="eastAsia" w:ascii="宋体" w:hAnsi="宋体"/>
          <w:szCs w:val="21"/>
          <w:highlight w:val="none"/>
          <w:u w:val="single"/>
        </w:rPr>
        <w:t xml:space="preserve">        </w:t>
      </w:r>
      <w:r>
        <w:rPr>
          <w:rFonts w:hint="eastAsia" w:ascii="宋体" w:hAnsi="宋体"/>
          <w:szCs w:val="21"/>
          <w:highlight w:val="none"/>
        </w:rPr>
        <w:t>人，营业收入为</w:t>
      </w:r>
      <w:r>
        <w:rPr>
          <w:rFonts w:hint="eastAsia" w:ascii="宋体" w:hAnsi="宋体"/>
          <w:szCs w:val="21"/>
          <w:highlight w:val="none"/>
          <w:u w:val="single"/>
        </w:rPr>
        <w:t xml:space="preserve">     </w:t>
      </w:r>
      <w:r>
        <w:rPr>
          <w:rFonts w:hint="eastAsia" w:ascii="宋体" w:hAnsi="宋体"/>
          <w:szCs w:val="21"/>
          <w:highlight w:val="none"/>
        </w:rPr>
        <w:t>万元，资产总额为</w:t>
      </w:r>
      <w:r>
        <w:rPr>
          <w:rFonts w:hint="eastAsia" w:ascii="宋体" w:hAnsi="宋体"/>
          <w:szCs w:val="21"/>
          <w:highlight w:val="none"/>
          <w:u w:val="single"/>
        </w:rPr>
        <w:t xml:space="preserve">      </w:t>
      </w:r>
      <w:r>
        <w:rPr>
          <w:rFonts w:hint="eastAsia" w:ascii="宋体" w:hAnsi="宋体"/>
          <w:szCs w:val="21"/>
          <w:highlight w:val="none"/>
        </w:rPr>
        <w:t xml:space="preserve">万元¹，属于（中型企业、小型企业、微型企业）； </w:t>
      </w:r>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2. </w:t>
      </w:r>
      <w:r>
        <w:rPr>
          <w:rFonts w:hint="eastAsia" w:ascii="宋体" w:hAnsi="宋体"/>
          <w:szCs w:val="21"/>
          <w:highlight w:val="none"/>
          <w:u w:val="single"/>
        </w:rPr>
        <w:t xml:space="preserve">（标的名称） </w:t>
      </w:r>
      <w:r>
        <w:rPr>
          <w:rFonts w:hint="eastAsia" w:ascii="宋体" w:hAnsi="宋体"/>
          <w:szCs w:val="21"/>
          <w:highlight w:val="none"/>
        </w:rPr>
        <w:t>，属于</w:t>
      </w:r>
      <w:r>
        <w:rPr>
          <w:rFonts w:hint="eastAsia" w:ascii="宋体" w:hAnsi="宋体"/>
          <w:szCs w:val="21"/>
          <w:highlight w:val="none"/>
          <w:u w:val="single"/>
        </w:rPr>
        <w:t xml:space="preserve"> </w:t>
      </w:r>
      <w:r>
        <w:rPr>
          <w:rFonts w:hint="eastAsia" w:ascii="宋体" w:hAnsi="宋体"/>
          <w:szCs w:val="21"/>
          <w:highlight w:val="none"/>
          <w:u w:val="single"/>
          <w:lang w:eastAsia="zh-CN"/>
        </w:rPr>
        <w:t>物业管理</w:t>
      </w:r>
      <w:r>
        <w:rPr>
          <w:rFonts w:hint="eastAsia" w:ascii="宋体" w:hAnsi="宋体"/>
          <w:szCs w:val="21"/>
          <w:highlight w:val="none"/>
          <w:u w:val="single"/>
        </w:rPr>
        <w:t xml:space="preserve"> </w:t>
      </w:r>
      <w:r>
        <w:rPr>
          <w:rFonts w:hint="eastAsia" w:ascii="宋体" w:hAnsi="宋体"/>
          <w:szCs w:val="21"/>
          <w:highlight w:val="none"/>
        </w:rPr>
        <w:t>； 承建（承接）企业为</w:t>
      </w:r>
      <w:r>
        <w:rPr>
          <w:rFonts w:hint="eastAsia" w:ascii="宋体" w:hAnsi="宋体"/>
          <w:szCs w:val="21"/>
          <w:highlight w:val="none"/>
          <w:u w:val="single"/>
        </w:rPr>
        <w:t>（企业名称）</w:t>
      </w:r>
      <w:r>
        <w:rPr>
          <w:rFonts w:hint="eastAsia" w:ascii="宋体" w:hAnsi="宋体"/>
          <w:szCs w:val="21"/>
          <w:highlight w:val="none"/>
        </w:rPr>
        <w:t xml:space="preserve">，从业人员 </w:t>
      </w:r>
      <w:r>
        <w:rPr>
          <w:rFonts w:hint="eastAsia" w:ascii="宋体" w:hAnsi="宋体"/>
          <w:szCs w:val="21"/>
          <w:highlight w:val="none"/>
          <w:u w:val="single"/>
        </w:rPr>
        <w:t xml:space="preserve">     </w:t>
      </w:r>
      <w:r>
        <w:rPr>
          <w:rFonts w:hint="eastAsia" w:ascii="宋体" w:hAnsi="宋体"/>
          <w:szCs w:val="21"/>
          <w:highlight w:val="none"/>
        </w:rPr>
        <w:t>人，营业收入为</w:t>
      </w:r>
      <w:r>
        <w:rPr>
          <w:rFonts w:hint="eastAsia" w:ascii="宋体" w:hAnsi="宋体"/>
          <w:szCs w:val="21"/>
          <w:highlight w:val="none"/>
          <w:u w:val="single"/>
        </w:rPr>
        <w:t xml:space="preserve">     </w:t>
      </w:r>
      <w:r>
        <w:rPr>
          <w:rFonts w:hint="eastAsia" w:ascii="宋体" w:hAnsi="宋体"/>
          <w:szCs w:val="21"/>
          <w:highlight w:val="none"/>
        </w:rPr>
        <w:t>万元，资产总额为</w:t>
      </w:r>
      <w:r>
        <w:rPr>
          <w:rFonts w:hint="eastAsia" w:ascii="宋体" w:hAnsi="宋体"/>
          <w:szCs w:val="21"/>
          <w:highlight w:val="none"/>
          <w:u w:val="single"/>
        </w:rPr>
        <w:t xml:space="preserve">    </w:t>
      </w:r>
      <w:r>
        <w:rPr>
          <w:rFonts w:hint="eastAsia" w:ascii="宋体" w:hAnsi="宋体"/>
          <w:szCs w:val="21"/>
          <w:highlight w:val="none"/>
        </w:rPr>
        <w:t>万元¹，属于</w:t>
      </w:r>
      <w:r>
        <w:rPr>
          <w:rFonts w:hint="eastAsia" w:ascii="宋体" w:hAnsi="宋体"/>
          <w:szCs w:val="21"/>
          <w:highlight w:val="none"/>
          <w:u w:val="single"/>
        </w:rPr>
        <w:t>（中型企业、小型企业、微型企业）</w:t>
      </w:r>
      <w:r>
        <w:rPr>
          <w:rFonts w:hint="eastAsia" w:ascii="宋体" w:hAnsi="宋体"/>
          <w:szCs w:val="21"/>
          <w:highlight w:val="none"/>
        </w:rPr>
        <w:t xml:space="preserve">； </w:t>
      </w:r>
    </w:p>
    <w:p>
      <w:pPr>
        <w:spacing w:line="360" w:lineRule="auto"/>
        <w:ind w:firstLine="420" w:firstLineChars="200"/>
        <w:rPr>
          <w:rFonts w:hint="eastAsia" w:ascii="宋体" w:hAnsi="宋体"/>
          <w:szCs w:val="21"/>
          <w:highlight w:val="none"/>
        </w:rPr>
      </w:pPr>
      <w:r>
        <w:rPr>
          <w:rFonts w:hint="eastAsia" w:ascii="宋体" w:hAnsi="宋体"/>
          <w:szCs w:val="21"/>
          <w:highlight w:val="none"/>
        </w:rPr>
        <w:t>……</w:t>
      </w:r>
    </w:p>
    <w:p>
      <w:pPr>
        <w:spacing w:line="360" w:lineRule="auto"/>
        <w:ind w:firstLine="420" w:firstLineChars="200"/>
        <w:rPr>
          <w:rFonts w:hint="eastAsia" w:ascii="宋体" w:hAnsi="宋体"/>
          <w:szCs w:val="21"/>
          <w:highlight w:val="none"/>
        </w:rPr>
      </w:pPr>
      <w:r>
        <w:rPr>
          <w:rFonts w:hint="eastAsia" w:ascii="宋体" w:hAnsi="宋体"/>
          <w:szCs w:val="21"/>
          <w:highlight w:val="none"/>
        </w:rPr>
        <w:t>以上企业，不属于大企业的分支机构，不存在控股股东为大企业的情形，也不存在与大企业的负责人为同一人的情形。</w:t>
      </w:r>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本企业对上述声明内容的真实性负责。如有虚假，将依法承担相应责任。 </w:t>
      </w:r>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 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 等政府采购有关法律法规规定追究相应责任。</w:t>
      </w:r>
    </w:p>
    <w:p>
      <w:pPr>
        <w:wordWrap w:val="0"/>
        <w:spacing w:line="360" w:lineRule="auto"/>
        <w:ind w:firstLine="420" w:firstLineChars="200"/>
        <w:rPr>
          <w:rFonts w:hint="eastAsia" w:ascii="宋体" w:hAnsi="宋体"/>
          <w:szCs w:val="21"/>
          <w:highlight w:val="none"/>
        </w:rPr>
      </w:pPr>
    </w:p>
    <w:p>
      <w:pPr>
        <w:wordWrap w:val="0"/>
        <w:spacing w:line="360" w:lineRule="auto"/>
        <w:ind w:firstLine="420" w:firstLineChars="200"/>
        <w:jc w:val="right"/>
        <w:rPr>
          <w:rFonts w:hint="eastAsia" w:ascii="宋体" w:hAnsi="宋体"/>
          <w:szCs w:val="21"/>
          <w:highlight w:val="none"/>
        </w:rPr>
      </w:pPr>
      <w:r>
        <w:rPr>
          <w:rFonts w:hint="eastAsia" w:ascii="宋体" w:hAnsi="宋体"/>
          <w:szCs w:val="21"/>
          <w:highlight w:val="none"/>
        </w:rPr>
        <w:t xml:space="preserve">投标人单位名称：   </w:t>
      </w:r>
    </w:p>
    <w:p>
      <w:pPr>
        <w:wordWrap w:val="0"/>
        <w:spacing w:line="360" w:lineRule="auto"/>
        <w:ind w:firstLine="420" w:firstLineChars="200"/>
        <w:jc w:val="right"/>
        <w:rPr>
          <w:rFonts w:hint="eastAsia" w:ascii="宋体" w:hAnsi="宋体"/>
          <w:szCs w:val="21"/>
          <w:highlight w:val="none"/>
        </w:rPr>
      </w:pPr>
      <w:r>
        <w:rPr>
          <w:rFonts w:hint="eastAsia" w:ascii="宋体" w:hAnsi="宋体"/>
          <w:szCs w:val="21"/>
          <w:highlight w:val="none"/>
        </w:rPr>
        <w:t xml:space="preserve">日期：       </w:t>
      </w:r>
    </w:p>
    <w:p>
      <w:pPr>
        <w:spacing w:line="360" w:lineRule="auto"/>
        <w:ind w:firstLine="420" w:firstLineChars="200"/>
        <w:rPr>
          <w:rFonts w:hint="eastAsia" w:ascii="宋体" w:hAnsi="宋体"/>
          <w:szCs w:val="21"/>
          <w:highlight w:val="none"/>
        </w:rPr>
      </w:pPr>
    </w:p>
    <w:p>
      <w:pPr>
        <w:ind w:firstLine="420" w:firstLineChars="200"/>
        <w:rPr>
          <w:rFonts w:hint="eastAsia" w:ascii="宋体" w:hAnsi="宋体"/>
          <w:szCs w:val="21"/>
          <w:highlight w:val="none"/>
        </w:rPr>
      </w:pPr>
      <w:r>
        <w:rPr>
          <w:rFonts w:hint="eastAsia" w:ascii="宋体" w:hAnsi="宋体"/>
          <w:szCs w:val="21"/>
          <w:highlight w:val="none"/>
        </w:rPr>
        <w:t>¹从业人员、营业收入、资产总额填报上一年度数据，无上一年度数据的新成立企业可不填报。</w:t>
      </w:r>
    </w:p>
    <w:p>
      <w:pPr>
        <w:wordWrap w:val="0"/>
        <w:ind w:firstLine="420" w:firstLineChars="200"/>
        <w:jc w:val="right"/>
        <w:rPr>
          <w:rFonts w:ascii="宋体" w:hAnsi="宋体"/>
          <w:szCs w:val="21"/>
          <w:highlight w:val="none"/>
        </w:rPr>
      </w:pPr>
      <w:r>
        <w:rPr>
          <w:rFonts w:hint="eastAsia" w:ascii="宋体" w:hAnsi="宋体"/>
          <w:szCs w:val="21"/>
          <w:highlight w:val="none"/>
        </w:rPr>
        <w:t xml:space="preserve">     </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注:如投标人提供的货物中有其他小型或微型企业生产的货物时，请将货物制造商的《中小企业声明函》一并提供，否则该部分货物视为不符合价格扣除条件。</w:t>
      </w:r>
    </w:p>
    <w:p>
      <w:pPr>
        <w:pStyle w:val="3"/>
        <w:adjustRightInd w:val="0"/>
        <w:snapToGrid w:val="0"/>
        <w:spacing w:before="0" w:after="0" w:line="360" w:lineRule="auto"/>
        <w:rPr>
          <w:rFonts w:ascii="宋体" w:hAnsi="宋体" w:cs="宋体"/>
          <w:bCs/>
          <w:highlight w:val="none"/>
        </w:rPr>
      </w:pPr>
      <w:r>
        <w:rPr>
          <w:rFonts w:hint="eastAsia" w:ascii="宋体" w:hAnsi="宋体" w:cs="宋体"/>
          <w:bCs/>
          <w:highlight w:val="none"/>
        </w:rPr>
        <w:t>监狱企业的证明文件（如适用）</w:t>
      </w:r>
    </w:p>
    <w:p>
      <w:pPr>
        <w:spacing w:line="360" w:lineRule="auto"/>
        <w:ind w:firstLine="308" w:firstLineChars="147"/>
        <w:rPr>
          <w:rFonts w:ascii="宋体" w:hAnsi="宋体" w:cs="宋体"/>
          <w:highlight w:val="none"/>
        </w:rPr>
      </w:pPr>
      <w:r>
        <w:rPr>
          <w:rFonts w:hint="eastAsia" w:ascii="宋体" w:hAnsi="宋体" w:cs="宋体"/>
          <w:highlight w:val="none"/>
        </w:rPr>
        <w:t>说明：监狱企业参加政府采购活动时，应当提供由省级以上监狱管理局、戒毒管理局（含新疆生产建设兵团）出具的属于监狱企业的证明文件复印件，并加盖投标单位公章。</w:t>
      </w:r>
    </w:p>
    <w:p>
      <w:pPr>
        <w:spacing w:line="360" w:lineRule="auto"/>
        <w:ind w:firstLine="310" w:firstLineChars="147"/>
        <w:rPr>
          <w:rFonts w:ascii="宋体" w:hAnsi="宋体" w:cs="宋体"/>
          <w:b/>
          <w:highlight w:val="none"/>
        </w:rPr>
      </w:pPr>
    </w:p>
    <w:p>
      <w:pPr>
        <w:pStyle w:val="3"/>
        <w:adjustRightInd w:val="0"/>
        <w:snapToGrid w:val="0"/>
        <w:spacing w:before="0" w:after="0" w:line="360" w:lineRule="auto"/>
        <w:rPr>
          <w:rFonts w:ascii="宋体" w:hAnsi="宋体" w:cs="宋体"/>
          <w:bCs/>
          <w:highlight w:val="none"/>
        </w:rPr>
      </w:pPr>
      <w:bookmarkStart w:id="0" w:name="OLE_LINK14"/>
      <w:bookmarkStart w:id="1" w:name="OLE_LINK13"/>
      <w:r>
        <w:rPr>
          <w:rFonts w:hint="eastAsia" w:ascii="宋体" w:hAnsi="宋体" w:cs="宋体"/>
          <w:bCs/>
          <w:highlight w:val="none"/>
        </w:rPr>
        <w:t>残疾人福利性单位声明函（如适用）</w:t>
      </w:r>
    </w:p>
    <w:bookmarkEnd w:id="0"/>
    <w:bookmarkEnd w:id="1"/>
    <w:p>
      <w:pPr>
        <w:adjustRightInd w:val="0"/>
        <w:snapToGrid w:val="0"/>
        <w:spacing w:line="360" w:lineRule="auto"/>
        <w:ind w:firstLine="444" w:firstLineChars="200"/>
        <w:rPr>
          <w:rFonts w:ascii="宋体" w:hAnsi="宋体" w:cs="宋体"/>
          <w:spacing w:val="6"/>
          <w:szCs w:val="21"/>
          <w:highlight w:val="none"/>
        </w:rPr>
      </w:pPr>
      <w:r>
        <w:rPr>
          <w:rFonts w:hint="eastAsia" w:ascii="宋体" w:hAnsi="宋体" w:cs="宋体"/>
          <w:spacing w:val="6"/>
          <w:szCs w:val="21"/>
          <w:highlight w:val="none"/>
        </w:rPr>
        <w:t>本单位郑重声明，根据《财政部 民政部 中国残疾人联合会关于促进残疾人就业政府采购政策的通知》（财库</w:t>
      </w:r>
      <w:r>
        <w:rPr>
          <w:rFonts w:hint="eastAsia" w:ascii="宋体" w:hAnsi="宋体" w:cs="宋体"/>
          <w:szCs w:val="21"/>
          <w:highlight w:val="none"/>
        </w:rPr>
        <w:t>〔2017〕 141</w:t>
      </w:r>
      <w:r>
        <w:rPr>
          <w:rFonts w:hint="eastAsia" w:ascii="宋体" w:hAnsi="宋体" w:cs="宋体"/>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firstLine="444" w:firstLineChars="200"/>
        <w:rPr>
          <w:rFonts w:ascii="宋体" w:hAnsi="宋体" w:cs="宋体"/>
          <w:spacing w:val="6"/>
          <w:szCs w:val="21"/>
          <w:highlight w:val="none"/>
        </w:rPr>
      </w:pPr>
      <w:r>
        <w:rPr>
          <w:rFonts w:hint="eastAsia" w:ascii="宋体" w:hAnsi="宋体" w:cs="宋体"/>
          <w:spacing w:val="6"/>
          <w:szCs w:val="21"/>
          <w:highlight w:val="none"/>
        </w:rPr>
        <w:t>本单位对上述声明的真实性负责。如有虚假，将依法承担相应责任。</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投标人知悉《关于促进残疾人就业政府采购政策的通知》（财库〔2017〕141号）的规定，承诺提供的声明函内容是真实的，如提供声明函内容不实，则依法追究相关法律责任。</w:t>
      </w:r>
    </w:p>
    <w:p>
      <w:pPr>
        <w:jc w:val="left"/>
        <w:rPr>
          <w:rFonts w:hint="eastAsia"/>
          <w:highlight w:val="none"/>
        </w:rPr>
      </w:pPr>
    </w:p>
    <w:p>
      <w:pPr>
        <w:tabs>
          <w:tab w:val="left" w:pos="4860"/>
        </w:tabs>
        <w:spacing w:line="360" w:lineRule="auto"/>
        <w:ind w:left="6237" w:leftChars="2970" w:right="108"/>
        <w:jc w:val="left"/>
        <w:rPr>
          <w:rFonts w:ascii="宋体" w:hAnsi="宋体" w:cs="宋体"/>
          <w:spacing w:val="6"/>
          <w:szCs w:val="21"/>
          <w:highlight w:val="none"/>
        </w:rPr>
      </w:pPr>
      <w:r>
        <w:rPr>
          <w:rFonts w:hint="eastAsia" w:ascii="宋体" w:hAnsi="宋体" w:cs="宋体"/>
          <w:spacing w:val="6"/>
          <w:szCs w:val="21"/>
          <w:highlight w:val="none"/>
        </w:rPr>
        <w:t>单位名称（盖章）：</w:t>
      </w:r>
    </w:p>
    <w:p>
      <w:pPr>
        <w:tabs>
          <w:tab w:val="left" w:pos="4860"/>
        </w:tabs>
        <w:spacing w:line="360" w:lineRule="auto"/>
        <w:ind w:left="6237" w:leftChars="2970" w:right="108"/>
        <w:jc w:val="left"/>
        <w:rPr>
          <w:rFonts w:hint="eastAsia" w:ascii="宋体" w:hAnsi="宋体" w:cs="宋体"/>
          <w:spacing w:val="6"/>
          <w:szCs w:val="21"/>
          <w:highlight w:val="none"/>
        </w:rPr>
      </w:pPr>
      <w:r>
        <w:rPr>
          <w:rFonts w:hint="eastAsia" w:ascii="宋体" w:hAnsi="宋体" w:cs="宋体"/>
          <w:spacing w:val="6"/>
          <w:szCs w:val="21"/>
          <w:highlight w:val="none"/>
        </w:rPr>
        <w:t>日  期：</w:t>
      </w:r>
    </w:p>
    <w:p>
      <w:pPr>
        <w:pStyle w:val="3"/>
        <w:rPr>
          <w:rFonts w:hint="eastAsia"/>
          <w:highlight w:val="none"/>
        </w:rPr>
      </w:pPr>
      <w:r>
        <w:rPr>
          <w:rFonts w:hint="eastAsia"/>
          <w:highlight w:val="none"/>
        </w:rPr>
        <w:br w:type="page"/>
      </w:r>
      <w:r>
        <w:rPr>
          <w:rFonts w:hint="eastAsia" w:ascii="宋体" w:hAnsi="宋体" w:cs="宋体"/>
          <w:highlight w:val="none"/>
        </w:rPr>
        <w:t>附</w:t>
      </w:r>
      <w:r>
        <w:rPr>
          <w:rStyle w:val="7"/>
          <w:rFonts w:hint="eastAsia" w:ascii="宋体" w:hAnsi="宋体" w:cs="宋体"/>
          <w:b/>
          <w:highlight w:val="none"/>
        </w:rPr>
        <w:t>件1：政府采购促进中小企业发展管理办法</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第一条 为了发挥政府采购的政策功能，促进中小企业健康发展，根据《中华人民共和国政府采购法》、《中华人民共和国中小企业促进法》等有关法律法规，制定本办法。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第三条 采购人在政府采购活动中应当通过加强采购需求管理，落实预留采购份额、价格评审优惠、优先采购等措施，提高中小企业在政府采购中的份额，支持中小企业发展。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第四条 在政府采购活动中，供应商提供的货物、工程或者服务符合下列情形的，享受本办法规定的中小企业扶持政策：</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（一）在货物采购项目中，货物由中小企业制造，即货物由中小企业生产且使用该中小企业商号或者注册商标；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（二）在工程采购项目中，工程由中小企业承建，即工程施工单位为中小企业；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符合下列情形之一的，可不专门面向中小企业预留采购份额：</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（一）法律法规和国家有关政策明确规定优先或者应当面向事业单位、社会组织等非企业主体采购的；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（二）因确需使用不可替代的专利、专有技术，基础设施限制，或者提供特定公共服务等原因，只能从中小企业之外的供应商处采购的；</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（三）按照本办法规定预留采购份额无法确保充分供应、充分竞争，或者存在可能影响政府采购目标实现的情形；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（四）框架协议采购项目；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（五）省级以上人民政府财政部门规定的其他情形。 除上述情形外，其他均为适宜由中小企业提供的情形。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第七条 采购限额标准以上，200 万元以下的货物和服务采购项目、400 万元以下的工程采购项目，适宜由中小企业提供的，采购人应当专门面向中小企业采购。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第八条 超过 200 万元的货物和服务采购项目、超过 400 万元的工程采购项目中适宜由中小企业提供的，预留该部分采购项目预算总额的 30%以上专门面向中小企业采购，其中预留给小微企业的比例不低于60%。预留份额通过下列措施进行：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（一）将采购项目整体或者设置采购包专门面向中小企业采购；</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（二）要求供应商以联合体形式参加采购活动，且联合体中中小企业承担的部分达到一定比例；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（三）要求获得采购合同的供应商将采购项目中的一定比例分包给一家或者多家中小企业。组成联合体或者接受分包合同的中小企业与联合体内其他企业、分包企业之间不得存在直接控股、管理关系。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第九条 对于经主管预算单位统筹后未预留份额专门面向中小企业采购的采购项目，以及预留份额项目中的非预留部分采购包，采购人、采购代理机构应当对符合本办法规定的小微企业报价给予 6%—10%（工程项目为 3%—5%）的扣除，用扣除后的价格参加评审。适用招标投标法的政府采购工程建设项目，采用综合评估法但未采用低价优先法计算价格分的，评标时应当在采用原报价进行评分的基础上增加其价格得分的 3%—5%作为其价格分。接受大中型企业与小微企业组成联合体或者允许大中型企业向一家或者多家小微企业分包的采购项目，对于联合协议或者分包意向协议约定小微企业的合同份额占到合同总金额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2%-3%（工程项目为 1%—2%）的扣除，用扣除后的价格参加评审。适用招标投标法的政府采购工程建设项目，采用综合评估法但未采用低价优先法计算价格分的，评标时应当在采用原报价进行评分的基础上增加其价格得分的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第十条 采购人应当严格按照本办法规定和主管预算单位制定的预留采购份额具体方案开展采购活动。预留份额的采购项目或者采购包，通过发布公告方式邀请供应商后，符合资格条件的中小企业数量不足 3 家的，应当中止采购活动，视同未预留份额的采购项目或者采购包，按照本办法第九条有关规定重新组织采购活动。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第十一条 中小企业参加政府采购活动，应当出具本办法规定的《中小企业声明函》（附 1），否则不得享受相关中小企业扶持政策。任何单位和个人不得要求供应商提供《中小企业声明函》之外的中小企业身份证明文件。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第十二条 采购项目涉及中小企业采购的，采购文件应当明确以下内容：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（一）预留份额的采购项目或者采购包，明确该项目或相关采购包专门面向中小企业采购，以及相关标的及预算金额；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（二）要求以联合体形式参加或者合同分包的，明确联合协议或者分包意向协议中中小企业合同金额应当达到的比例，并作为供应商资格条件；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（三）非预留份额的采购项目或者采购包，明确有关价格扣除比例或者价格分加分比例；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（四）规定依据本办法规定享受扶持政策获得政府采购合同的，小微企业不得将合同分包给大中型企业，中型企业不得将合同分包给大型企业；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（五）采购人认为具备相关条件的，明确对中小企业在资金支付期限、预付款比例等方面的优惠措施；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（六）明确采购标的对应的中小企业划分标准所属行业；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（七）法律法规和省级以上人民政府财政部门规定的其他事项。</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第十三条 中标、成交供应商享受本办法规定的中小企业扶持政策的，采购人、采购代理机构应当随中标、成交结果公开中标、成交供应商的《中小企业声明函》。 适用招标投标法的政府采购工程建设项目，应当在公示中标候选人时公开中标候选人的《中小企业声明函》。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第十五条 鼓励各地区、各部门在采购活动中允许中小企业引入信用担保手段，为中小企业在投标（响应）保证、履约保证等方面提供专业化服务。鼓励中小企业依法合规通过政府采购合同融资。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第十六条 政府采购监督检查、投诉处理及政府采购行政处罚中对中小企业的认定，由货物制造商或者工程、服务供应商注册登记所在地的县级以上人民政府中小企业主管部门负责。中小企业主管部门应当在收到财政部门或者有关招标投标行政监督部门关于协助开展中小企业认定函后 10 个工作日内做出书面答复。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第十七条 各地区、各部门应当对涉及中小企业采购的预算项目实施全过程绩效管理，合理设置绩效目标和指标，落实扶持中小企业有关政策要求，定期开展绩效监控和评价，强化绩效评价结果应用。 </w:t>
      </w:r>
    </w:p>
    <w:p>
      <w:pPr>
        <w:widowControl/>
        <w:spacing w:line="360" w:lineRule="auto"/>
        <w:jc w:val="left"/>
        <w:rPr>
          <w:rFonts w:hint="eastAsia" w:ascii="宋体" w:hAnsi="宋体" w:cs="宋体"/>
          <w:kern w:val="0"/>
          <w:szCs w:val="21"/>
          <w:highlight w:val="none"/>
          <w:lang w:bidi="ar"/>
        </w:rPr>
      </w:pPr>
      <w:r>
        <w:rPr>
          <w:rFonts w:hint="eastAsia" w:ascii="宋体" w:hAnsi="宋体" w:cs="宋体"/>
          <w:kern w:val="0"/>
          <w:szCs w:val="21"/>
          <w:highlight w:val="none"/>
          <w:lang w:bidi="ar"/>
        </w:rPr>
        <w:t>第十八条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第二十条 供应商按照本办法规定提供声明函内容不实的，属于提供虚假材料谋取中标、成交，依照《中华人民共和国政府采购法》等国家有关规定追究相应责任。适用招标投标法的政府采购工程建设项目，投标人按照本办法规定提供声明函内容不实的，属于弄虚作假骗取中标，依照《中华人民共和国招标投标法》等国家有关规定追究相应责任。</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第二十二条 对外援助项目、国家相关资格或者资质管理制度另有规定的项目，不适用本办法。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第二十三条 关于视同中小企业的其他主体的政府采购扶持政策，由财政部会同有关部门另行规定。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第二十四条 省级财政部门可以会同中小企业主管部门根据本办法的规定制定具体实施办法。 </w:t>
      </w:r>
    </w:p>
    <w:p>
      <w:pPr>
        <w:widowControl/>
        <w:spacing w:line="360" w:lineRule="auto"/>
        <w:jc w:val="left"/>
        <w:rPr>
          <w:rFonts w:hint="eastAsia" w:ascii="宋体" w:hAnsi="宋体" w:cs="宋体"/>
          <w:szCs w:val="21"/>
          <w:highlight w:val="none"/>
        </w:rPr>
      </w:pPr>
      <w:r>
        <w:rPr>
          <w:rFonts w:hint="eastAsia" w:ascii="宋体" w:hAnsi="宋体" w:cs="宋体"/>
          <w:kern w:val="0"/>
          <w:szCs w:val="21"/>
          <w:highlight w:val="none"/>
          <w:lang w:bidi="ar"/>
        </w:rPr>
        <w:t xml:space="preserve">第二十五条 本办法自 2021 年 1 月 1 日起施行。《财政部 工业和信息化部关于印发〈政府采购促进中小企业发展暂行办法〉的通知》（财库﹝2011﹞181 号）同时废止。 </w:t>
      </w:r>
    </w:p>
    <w:p>
      <w:pPr>
        <w:pStyle w:val="3"/>
        <w:rPr>
          <w:rFonts w:hint="eastAsia" w:ascii="宋体" w:hAnsi="宋体" w:cs="宋体"/>
          <w:highlight w:val="none"/>
          <w:lang w:val="en-US"/>
        </w:rPr>
      </w:pPr>
      <w:r>
        <w:rPr>
          <w:rFonts w:hint="eastAsia" w:ascii="宋体" w:hAnsi="宋体" w:cs="宋体"/>
          <w:highlight w:val="none"/>
        </w:rPr>
        <w:br w:type="page"/>
      </w:r>
      <w:r>
        <w:rPr>
          <w:rFonts w:hint="eastAsia" w:ascii="宋体" w:hAnsi="宋体" w:cs="宋体"/>
          <w:highlight w:val="none"/>
        </w:rPr>
        <w:t>附件</w:t>
      </w:r>
      <w:r>
        <w:rPr>
          <w:rFonts w:hint="eastAsia" w:ascii="宋体" w:hAnsi="宋体" w:cs="宋体"/>
          <w:highlight w:val="none"/>
          <w:lang w:val="en-US"/>
        </w:rPr>
        <w:t>2：工信部联企业[2011]300号</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各省、自治区、直辖市人民政府，国务院各部委及有关单位：</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adjustRightInd w:val="0"/>
        <w:snapToGrid w:val="0"/>
        <w:spacing w:line="360" w:lineRule="auto"/>
        <w:ind w:firstLine="444" w:firstLineChars="200"/>
        <w:jc w:val="right"/>
        <w:rPr>
          <w:rFonts w:hint="eastAsia" w:ascii="宋体" w:hAnsi="宋体" w:cs="宋体"/>
          <w:spacing w:val="6"/>
          <w:szCs w:val="21"/>
          <w:highlight w:val="none"/>
        </w:rPr>
      </w:pPr>
      <w:r>
        <w:rPr>
          <w:rFonts w:hint="eastAsia" w:ascii="宋体" w:hAnsi="宋体" w:cs="宋体"/>
          <w:spacing w:val="6"/>
          <w:szCs w:val="21"/>
          <w:highlight w:val="none"/>
        </w:rPr>
        <w:t>工业和信息化部 国家统计局</w:t>
      </w:r>
    </w:p>
    <w:p>
      <w:pPr>
        <w:adjustRightInd w:val="0"/>
        <w:snapToGrid w:val="0"/>
        <w:spacing w:line="360" w:lineRule="auto"/>
        <w:ind w:firstLine="444" w:firstLineChars="200"/>
        <w:jc w:val="right"/>
        <w:rPr>
          <w:rFonts w:hint="eastAsia" w:ascii="宋体" w:hAnsi="宋体" w:cs="宋体"/>
          <w:spacing w:val="6"/>
          <w:szCs w:val="21"/>
          <w:highlight w:val="none"/>
        </w:rPr>
      </w:pPr>
      <w:r>
        <w:rPr>
          <w:rFonts w:hint="eastAsia" w:ascii="宋体" w:hAnsi="宋体" w:cs="宋体"/>
          <w:spacing w:val="6"/>
          <w:szCs w:val="21"/>
          <w:highlight w:val="none"/>
        </w:rPr>
        <w:t>国家发展和改革委员会 财政部</w:t>
      </w:r>
    </w:p>
    <w:p>
      <w:pPr>
        <w:adjustRightInd w:val="0"/>
        <w:snapToGrid w:val="0"/>
        <w:spacing w:line="360" w:lineRule="auto"/>
        <w:ind w:firstLine="444" w:firstLineChars="200"/>
        <w:jc w:val="right"/>
        <w:rPr>
          <w:rFonts w:hint="eastAsia" w:ascii="宋体" w:hAnsi="宋体" w:cs="宋体"/>
          <w:spacing w:val="6"/>
          <w:szCs w:val="21"/>
          <w:highlight w:val="none"/>
        </w:rPr>
      </w:pPr>
      <w:r>
        <w:rPr>
          <w:rFonts w:hint="eastAsia" w:ascii="宋体" w:hAnsi="宋体" w:cs="宋体"/>
          <w:spacing w:val="6"/>
          <w:szCs w:val="21"/>
          <w:highlight w:val="none"/>
        </w:rPr>
        <w:t>二〇一一年六月十八日</w:t>
      </w:r>
    </w:p>
    <w:p>
      <w:pPr>
        <w:adjustRightInd w:val="0"/>
        <w:snapToGrid w:val="0"/>
        <w:spacing w:line="360" w:lineRule="auto"/>
        <w:ind w:firstLine="223" w:firstLineChars="100"/>
        <w:jc w:val="center"/>
        <w:rPr>
          <w:rFonts w:hint="eastAsia" w:ascii="宋体" w:hAnsi="宋体" w:cs="宋体"/>
          <w:b/>
          <w:bCs/>
          <w:spacing w:val="6"/>
          <w:szCs w:val="21"/>
          <w:highlight w:val="none"/>
        </w:rPr>
      </w:pPr>
      <w:r>
        <w:rPr>
          <w:rFonts w:hint="eastAsia" w:ascii="宋体" w:hAnsi="宋体" w:cs="宋体"/>
          <w:b/>
          <w:bCs/>
          <w:spacing w:val="6"/>
          <w:szCs w:val="21"/>
          <w:highlight w:val="none"/>
        </w:rPr>
        <w:t>中小企业划型标准规定：</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一、根据《中华人民共和国中小企业促进法》和《国务院关于进一步促进中小企业发展的若干意见》(国发〔2009〕36号)，制定本规定。</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二、中小企业划分为中型、小型、微型三种类型，具体标准根据企业从业人员、营业收入、资产总额等指标，结合行业特点制定。</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四、各行业划型标准为：</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（一）农、林、牧、渔业。营业收入20000万元以下的为中小微型企业。其中，营业收入500万元及以上的为中型企业，营业收入50万元及以上的为小型企业，营业收入50万元以下的为微型企业。</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（十六）其他未列明行业。从业人员300人以下的为中小微型企业。其中，从业人员100人及以上的为中型企业；从业人员10人及以上的为小型企业；从业人员10人以下的为微型企业。</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五、企业类型的划分以统计部门的统计数据为依据。</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六、本规定适用于在中华人民共和国境内依法设立的各类所有制和各种组织形式的企业。个体工商户和本规定以外的行业，参照本规定进行划型。</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八、本规定由工业和信息化部、国家统计局会同有关部门根据《国民经济行业分类》修订情况和企业发展变化情况适时修订。</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九、本规定由工业和信息化部、国家统计局会同有关部门负责解释。</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十、本规定自发布之日起执行，原国家经贸委、原国家计委、财政部和国家统计局2003年颁布的《中小企业标准暂行规定》同时废止。</w:t>
      </w:r>
    </w:p>
    <w:p>
      <w:pPr>
        <w:pStyle w:val="3"/>
        <w:rPr>
          <w:rStyle w:val="7"/>
          <w:rFonts w:hint="eastAsia" w:ascii="宋体" w:hAnsi="宋体" w:cs="宋体"/>
          <w:b/>
          <w:highlight w:val="none"/>
        </w:rPr>
      </w:pPr>
      <w:r>
        <w:rPr>
          <w:rFonts w:hint="eastAsia"/>
          <w:highlight w:val="none"/>
          <w:lang w:val="en-US"/>
        </w:rPr>
        <w:br w:type="page"/>
      </w:r>
      <w:r>
        <w:rPr>
          <w:rStyle w:val="7"/>
          <w:rFonts w:hint="eastAsia" w:ascii="宋体" w:hAnsi="宋体" w:cs="宋体"/>
          <w:b/>
          <w:highlight w:val="none"/>
        </w:rPr>
        <w:t>附件3：国家统计局关于印发《统计上大中小微型企业划分办法（2017）》的通知</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各省、自治区、直辖市统计局，新疆生产建设兵团统计局，国务院各有关部门，国家统计局各调查总队：</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 《国民经济行业分类》（GB/T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 附件：《统计上大中小微型企业划分办法（2017）》修订说明 </w:t>
      </w:r>
    </w:p>
    <w:p>
      <w:pPr>
        <w:adjustRightInd w:val="0"/>
        <w:snapToGrid w:val="0"/>
        <w:spacing w:line="360" w:lineRule="auto"/>
        <w:ind w:firstLine="444" w:firstLineChars="200"/>
        <w:jc w:val="right"/>
        <w:rPr>
          <w:rFonts w:hint="eastAsia" w:ascii="宋体" w:hAnsi="宋体" w:cs="宋体"/>
          <w:spacing w:val="6"/>
          <w:szCs w:val="21"/>
          <w:highlight w:val="none"/>
        </w:rPr>
      </w:pPr>
      <w:r>
        <w:rPr>
          <w:rFonts w:hint="eastAsia" w:ascii="宋体" w:hAnsi="宋体" w:cs="宋体"/>
          <w:spacing w:val="6"/>
          <w:szCs w:val="21"/>
          <w:highlight w:val="none"/>
        </w:rPr>
        <w:t>国家统计局  </w:t>
      </w:r>
    </w:p>
    <w:p>
      <w:pPr>
        <w:adjustRightInd w:val="0"/>
        <w:snapToGrid w:val="0"/>
        <w:spacing w:line="360" w:lineRule="auto"/>
        <w:ind w:firstLine="444" w:firstLineChars="200"/>
        <w:jc w:val="right"/>
        <w:rPr>
          <w:rFonts w:hint="eastAsia" w:ascii="宋体" w:hAnsi="宋体" w:cs="宋体"/>
          <w:spacing w:val="6"/>
          <w:szCs w:val="21"/>
          <w:highlight w:val="none"/>
        </w:rPr>
      </w:pPr>
      <w:r>
        <w:rPr>
          <w:rFonts w:hint="eastAsia" w:ascii="宋体" w:hAnsi="宋体" w:cs="宋体"/>
          <w:spacing w:val="6"/>
          <w:szCs w:val="21"/>
          <w:highlight w:val="none"/>
        </w:rPr>
        <w:t>2017年12月28日</w:t>
      </w:r>
    </w:p>
    <w:p>
      <w:pPr>
        <w:adjustRightInd w:val="0"/>
        <w:snapToGrid w:val="0"/>
        <w:spacing w:line="360" w:lineRule="auto"/>
        <w:ind w:firstLine="506" w:firstLineChars="200"/>
        <w:jc w:val="center"/>
        <w:rPr>
          <w:rFonts w:hint="eastAsia" w:ascii="宋体" w:hAnsi="宋体" w:cs="宋体"/>
          <w:b/>
          <w:bCs/>
          <w:spacing w:val="6"/>
          <w:sz w:val="24"/>
          <w:highlight w:val="none"/>
        </w:rPr>
      </w:pPr>
      <w:r>
        <w:rPr>
          <w:rFonts w:hint="eastAsia" w:ascii="宋体" w:hAnsi="宋体" w:cs="宋体"/>
          <w:b/>
          <w:bCs/>
          <w:spacing w:val="6"/>
          <w:sz w:val="24"/>
          <w:highlight w:val="none"/>
        </w:rPr>
        <w:t>统计上大中小微型企业划分办法（2017）</w:t>
      </w:r>
    </w:p>
    <w:p>
      <w:pPr>
        <w:adjustRightInd w:val="0"/>
        <w:snapToGrid w:val="0"/>
        <w:spacing w:line="360" w:lineRule="auto"/>
        <w:ind w:firstLine="504" w:firstLineChars="200"/>
        <w:rPr>
          <w:rFonts w:hint="eastAsia" w:ascii="宋体" w:hAnsi="宋体" w:cs="宋体"/>
          <w:spacing w:val="6"/>
          <w:szCs w:val="21"/>
          <w:highlight w:val="none"/>
        </w:rPr>
      </w:pPr>
      <w:r>
        <w:rPr>
          <w:rFonts w:hint="eastAsia" w:ascii="宋体" w:hAnsi="宋体" w:cs="宋体"/>
          <w:spacing w:val="6"/>
          <w:sz w:val="24"/>
          <w:highlight w:val="none"/>
        </w:rPr>
        <w:t>　</w:t>
      </w:r>
      <w:r>
        <w:rPr>
          <w:rFonts w:hint="eastAsia" w:ascii="宋体" w:hAnsi="宋体" w:cs="宋体"/>
          <w:spacing w:val="6"/>
          <w:szCs w:val="21"/>
          <w:highlight w:val="none"/>
        </w:rPr>
        <w:t>　一、根据工业和信息化部、国家统计局、国家发展改革委、财政部《关于印发中小企业划型标准规定的通知》（工信部联企业〔2011〕300号），以《国民经济行业分类》（GB/T4754-2017）为基础，结合统计工作的实际情况，制定本办法。</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　　二、本办法适用对象为在中华人民共和国境内依法设立的各种组织形式的法人企业或单位。个体工商户参照本办法进行划分。</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　　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　　四、本办法按照行业门类、大类、中类和组合类别，依据从业人员、营业收入、资产总额等指标或替代指标，将我国的企业划分为大型、中型、小型、微型等四种类型。具体划分标准见附表。</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　　五、企业划分由政府综合统计部门根据统计年报每年确定一次，定报统计原则上不进行调整。</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　　六、本办法自印发之日起执行，国家统计局2011年印发的《统计上大中小微型企业划分办法》（国统字〔2011〕75号）同时废止。</w:t>
      </w:r>
    </w:p>
    <w:p>
      <w:pPr>
        <w:adjustRightInd w:val="0"/>
        <w:snapToGrid w:val="0"/>
        <w:spacing w:line="360" w:lineRule="auto"/>
        <w:ind w:firstLine="446" w:firstLineChars="200"/>
        <w:jc w:val="center"/>
        <w:rPr>
          <w:rFonts w:hint="eastAsia" w:ascii="宋体" w:hAnsi="宋体" w:cs="宋体"/>
          <w:b/>
          <w:bCs/>
          <w:spacing w:val="6"/>
          <w:szCs w:val="21"/>
          <w:highlight w:val="none"/>
        </w:rPr>
      </w:pPr>
      <w:r>
        <w:rPr>
          <w:rFonts w:hint="eastAsia" w:ascii="宋体" w:hAnsi="宋体" w:cs="宋体"/>
          <w:b/>
          <w:bCs/>
          <w:spacing w:val="6"/>
          <w:szCs w:val="21"/>
          <w:highlight w:val="none"/>
        </w:rPr>
        <w:t>附表：统计上大中小微型企业划分标准</w:t>
      </w:r>
    </w:p>
    <w:tbl>
      <w:tblPr>
        <w:tblStyle w:val="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827"/>
        <w:gridCol w:w="1007"/>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jc w:val="center"/>
        </w:trPr>
        <w:tc>
          <w:tcPr>
            <w:tcW w:w="2113" w:type="dxa"/>
            <w:noWrap w:val="0"/>
            <w:vAlign w:val="center"/>
          </w:tcPr>
          <w:p>
            <w:pPr>
              <w:widowControl/>
              <w:spacing w:line="360" w:lineRule="auto"/>
              <w:jc w:val="left"/>
              <w:rPr>
                <w:rFonts w:hint="eastAsia" w:ascii="宋体" w:hAnsi="宋体" w:cs="宋体"/>
                <w:b/>
                <w:bCs/>
                <w:kern w:val="0"/>
                <w:szCs w:val="21"/>
                <w:highlight w:val="none"/>
              </w:rPr>
            </w:pPr>
            <w:r>
              <w:rPr>
                <w:rFonts w:hint="eastAsia" w:ascii="宋体" w:hAnsi="宋体" w:cs="宋体"/>
                <w:b/>
                <w:bCs/>
                <w:kern w:val="0"/>
                <w:szCs w:val="21"/>
                <w:highlight w:val="none"/>
              </w:rPr>
              <w:t>行业名称</w:t>
            </w:r>
          </w:p>
        </w:tc>
        <w:tc>
          <w:tcPr>
            <w:tcW w:w="1369" w:type="dxa"/>
            <w:noWrap w:val="0"/>
            <w:vAlign w:val="center"/>
          </w:tcPr>
          <w:p>
            <w:pPr>
              <w:widowControl/>
              <w:spacing w:line="360" w:lineRule="auto"/>
              <w:jc w:val="left"/>
              <w:rPr>
                <w:rFonts w:hint="eastAsia" w:ascii="宋体" w:hAnsi="宋体" w:cs="宋体"/>
                <w:b/>
                <w:bCs/>
                <w:kern w:val="0"/>
                <w:szCs w:val="21"/>
                <w:highlight w:val="none"/>
              </w:rPr>
            </w:pPr>
            <w:r>
              <w:rPr>
                <w:rFonts w:hint="eastAsia" w:ascii="宋体" w:hAnsi="宋体" w:cs="宋体"/>
                <w:b/>
                <w:bCs/>
                <w:kern w:val="0"/>
                <w:szCs w:val="21"/>
                <w:highlight w:val="none"/>
              </w:rPr>
              <w:t>指标名称</w:t>
            </w:r>
          </w:p>
        </w:tc>
        <w:tc>
          <w:tcPr>
            <w:tcW w:w="827" w:type="dxa"/>
            <w:noWrap w:val="0"/>
            <w:vAlign w:val="center"/>
          </w:tcPr>
          <w:p>
            <w:pPr>
              <w:widowControl/>
              <w:spacing w:line="360" w:lineRule="auto"/>
              <w:jc w:val="left"/>
              <w:rPr>
                <w:rFonts w:hint="eastAsia" w:ascii="宋体" w:hAnsi="宋体" w:cs="宋体"/>
                <w:b/>
                <w:bCs/>
                <w:kern w:val="0"/>
                <w:szCs w:val="21"/>
                <w:highlight w:val="none"/>
              </w:rPr>
            </w:pPr>
            <w:r>
              <w:rPr>
                <w:rFonts w:hint="eastAsia" w:ascii="宋体" w:hAnsi="宋体" w:cs="宋体"/>
                <w:b/>
                <w:bCs/>
                <w:kern w:val="0"/>
                <w:szCs w:val="21"/>
                <w:highlight w:val="none"/>
              </w:rPr>
              <w:t>计量</w:t>
            </w:r>
            <w:r>
              <w:rPr>
                <w:rFonts w:hint="eastAsia" w:ascii="宋体" w:hAnsi="宋体" w:cs="宋体"/>
                <w:b/>
                <w:bCs/>
                <w:kern w:val="0"/>
                <w:szCs w:val="21"/>
                <w:highlight w:val="none"/>
              </w:rPr>
              <w:br w:type="textWrapping"/>
            </w:r>
            <w:r>
              <w:rPr>
                <w:rFonts w:hint="eastAsia" w:ascii="宋体" w:hAnsi="宋体" w:cs="宋体"/>
                <w:b/>
                <w:bCs/>
                <w:kern w:val="0"/>
                <w:szCs w:val="21"/>
                <w:highlight w:val="none"/>
              </w:rPr>
              <w:t>单位</w:t>
            </w:r>
          </w:p>
        </w:tc>
        <w:tc>
          <w:tcPr>
            <w:tcW w:w="1007" w:type="dxa"/>
            <w:noWrap w:val="0"/>
            <w:vAlign w:val="center"/>
          </w:tcPr>
          <w:p>
            <w:pPr>
              <w:widowControl/>
              <w:spacing w:line="360" w:lineRule="auto"/>
              <w:jc w:val="left"/>
              <w:rPr>
                <w:rFonts w:hint="eastAsia" w:ascii="宋体" w:hAnsi="宋体" w:cs="宋体"/>
                <w:b/>
                <w:bCs/>
                <w:kern w:val="0"/>
                <w:szCs w:val="21"/>
                <w:highlight w:val="none"/>
              </w:rPr>
            </w:pPr>
            <w:r>
              <w:rPr>
                <w:rFonts w:hint="eastAsia" w:ascii="宋体" w:hAnsi="宋体" w:cs="宋体"/>
                <w:b/>
                <w:bCs/>
                <w:kern w:val="0"/>
                <w:szCs w:val="21"/>
                <w:highlight w:val="none"/>
              </w:rPr>
              <w:t>大型</w:t>
            </w:r>
          </w:p>
        </w:tc>
        <w:tc>
          <w:tcPr>
            <w:tcW w:w="1701" w:type="dxa"/>
            <w:noWrap w:val="0"/>
            <w:vAlign w:val="center"/>
          </w:tcPr>
          <w:p>
            <w:pPr>
              <w:widowControl/>
              <w:spacing w:line="360" w:lineRule="auto"/>
              <w:jc w:val="left"/>
              <w:rPr>
                <w:rFonts w:hint="eastAsia" w:ascii="宋体" w:hAnsi="宋体" w:cs="宋体"/>
                <w:b/>
                <w:bCs/>
                <w:kern w:val="0"/>
                <w:szCs w:val="21"/>
                <w:highlight w:val="none"/>
              </w:rPr>
            </w:pPr>
            <w:r>
              <w:rPr>
                <w:rFonts w:hint="eastAsia" w:ascii="宋体" w:hAnsi="宋体" w:cs="宋体"/>
                <w:b/>
                <w:bCs/>
                <w:kern w:val="0"/>
                <w:szCs w:val="21"/>
                <w:highlight w:val="none"/>
              </w:rPr>
              <w:t>中型</w:t>
            </w:r>
          </w:p>
        </w:tc>
        <w:tc>
          <w:tcPr>
            <w:tcW w:w="1426" w:type="dxa"/>
            <w:noWrap w:val="0"/>
            <w:vAlign w:val="center"/>
          </w:tcPr>
          <w:p>
            <w:pPr>
              <w:widowControl/>
              <w:spacing w:line="360" w:lineRule="auto"/>
              <w:jc w:val="left"/>
              <w:rPr>
                <w:rFonts w:hint="eastAsia" w:ascii="宋体" w:hAnsi="宋体" w:cs="宋体"/>
                <w:b/>
                <w:bCs/>
                <w:kern w:val="0"/>
                <w:szCs w:val="21"/>
                <w:highlight w:val="none"/>
              </w:rPr>
            </w:pPr>
            <w:r>
              <w:rPr>
                <w:rFonts w:hint="eastAsia" w:ascii="宋体" w:hAnsi="宋体" w:cs="宋体"/>
                <w:b/>
                <w:bCs/>
                <w:kern w:val="0"/>
                <w:szCs w:val="21"/>
                <w:highlight w:val="none"/>
              </w:rPr>
              <w:t>小型</w:t>
            </w:r>
          </w:p>
        </w:tc>
        <w:tc>
          <w:tcPr>
            <w:tcW w:w="992" w:type="dxa"/>
            <w:noWrap w:val="0"/>
            <w:vAlign w:val="center"/>
          </w:tcPr>
          <w:p>
            <w:pPr>
              <w:widowControl/>
              <w:spacing w:line="360" w:lineRule="auto"/>
              <w:jc w:val="left"/>
              <w:rPr>
                <w:rFonts w:hint="eastAsia" w:ascii="宋体" w:hAnsi="宋体" w:cs="宋体"/>
                <w:b/>
                <w:bCs/>
                <w:kern w:val="0"/>
                <w:szCs w:val="21"/>
                <w:highlight w:val="none"/>
              </w:rPr>
            </w:pPr>
            <w:r>
              <w:rPr>
                <w:rFonts w:hint="eastAsia" w:ascii="宋体" w:hAnsi="宋体" w:cs="宋体"/>
                <w:b/>
                <w:bCs/>
                <w:kern w:val="0"/>
                <w:szCs w:val="21"/>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农、林、牧、渔业</w:t>
            </w: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万元</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Y≥20000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500≤Y＜20000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50≤Y＜500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工业 *</w:t>
            </w: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人</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X≥1000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300≤X＜1000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20≤X＜300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360" w:lineRule="auto"/>
              <w:jc w:val="left"/>
              <w:rPr>
                <w:rFonts w:hint="eastAsia" w:ascii="宋体" w:hAnsi="宋体" w:cs="宋体"/>
                <w:kern w:val="0"/>
                <w:szCs w:val="21"/>
                <w:highlight w:val="none"/>
              </w:rPr>
            </w:pP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万元</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Y≥40000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2000≤Y＜40000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300≤Y＜2000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建筑业</w:t>
            </w: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万元</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Y≥80000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6000≤Y＜80000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300≤Y＜6000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360" w:lineRule="auto"/>
              <w:jc w:val="left"/>
              <w:rPr>
                <w:rFonts w:hint="eastAsia" w:ascii="宋体" w:hAnsi="宋体" w:cs="宋体"/>
                <w:kern w:val="0"/>
                <w:szCs w:val="21"/>
                <w:highlight w:val="none"/>
              </w:rPr>
            </w:pP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资产总额(Z)</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万元</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Z≥80000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5000≤Z＜80000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300≤Z＜5000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批发业</w:t>
            </w: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人</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X≥200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20≤X＜200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5≤X＜20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360" w:lineRule="auto"/>
              <w:jc w:val="left"/>
              <w:rPr>
                <w:rFonts w:hint="eastAsia" w:ascii="宋体" w:hAnsi="宋体" w:cs="宋体"/>
                <w:kern w:val="0"/>
                <w:szCs w:val="21"/>
                <w:highlight w:val="none"/>
              </w:rPr>
            </w:pP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万元</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Y≥40000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5000≤Y＜40000</w:t>
            </w:r>
          </w:p>
        </w:tc>
        <w:tc>
          <w:tcPr>
            <w:tcW w:w="1426" w:type="dxa"/>
            <w:noWrap w:val="0"/>
            <w:vAlign w:val="center"/>
          </w:tcPr>
          <w:p>
            <w:pPr>
              <w:widowControl/>
              <w:spacing w:line="360" w:lineRule="auto"/>
              <w:ind w:left="-1" w:leftChars="-1" w:hanging="1"/>
              <w:jc w:val="left"/>
              <w:rPr>
                <w:rFonts w:hint="eastAsia" w:ascii="宋体" w:hAnsi="宋体" w:cs="宋体"/>
                <w:kern w:val="0"/>
                <w:szCs w:val="21"/>
                <w:highlight w:val="none"/>
              </w:rPr>
            </w:pPr>
            <w:r>
              <w:rPr>
                <w:rFonts w:hint="eastAsia" w:ascii="宋体" w:hAnsi="宋体" w:cs="宋体"/>
                <w:kern w:val="0"/>
                <w:szCs w:val="21"/>
                <w:highlight w:val="none"/>
              </w:rPr>
              <w:t>1000≤Y＜5000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零售业</w:t>
            </w: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人</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X≥300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50≤X＜300</w:t>
            </w:r>
          </w:p>
        </w:tc>
        <w:tc>
          <w:tcPr>
            <w:tcW w:w="1426" w:type="dxa"/>
            <w:noWrap w:val="0"/>
            <w:vAlign w:val="center"/>
          </w:tcPr>
          <w:p>
            <w:pPr>
              <w:widowControl/>
              <w:spacing w:line="360" w:lineRule="auto"/>
              <w:ind w:left="-1" w:leftChars="-1" w:hanging="1"/>
              <w:jc w:val="left"/>
              <w:rPr>
                <w:rFonts w:hint="eastAsia" w:ascii="宋体" w:hAnsi="宋体" w:cs="宋体"/>
                <w:kern w:val="0"/>
                <w:szCs w:val="21"/>
                <w:highlight w:val="none"/>
              </w:rPr>
            </w:pPr>
            <w:r>
              <w:rPr>
                <w:rFonts w:hint="eastAsia" w:ascii="宋体" w:hAnsi="宋体" w:cs="宋体"/>
                <w:kern w:val="0"/>
                <w:szCs w:val="21"/>
                <w:highlight w:val="none"/>
              </w:rPr>
              <w:t>10≤X＜50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360" w:lineRule="auto"/>
              <w:jc w:val="left"/>
              <w:rPr>
                <w:rFonts w:hint="eastAsia" w:ascii="宋体" w:hAnsi="宋体" w:cs="宋体"/>
                <w:kern w:val="0"/>
                <w:szCs w:val="21"/>
                <w:highlight w:val="none"/>
              </w:rPr>
            </w:pP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万元</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Y≥20000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500≤Y＜20000</w:t>
            </w:r>
          </w:p>
        </w:tc>
        <w:tc>
          <w:tcPr>
            <w:tcW w:w="1426" w:type="dxa"/>
            <w:noWrap w:val="0"/>
            <w:vAlign w:val="center"/>
          </w:tcPr>
          <w:p>
            <w:pPr>
              <w:widowControl/>
              <w:spacing w:line="360" w:lineRule="auto"/>
              <w:ind w:left="-1" w:leftChars="-1" w:hanging="1"/>
              <w:jc w:val="left"/>
              <w:rPr>
                <w:rFonts w:hint="eastAsia" w:ascii="宋体" w:hAnsi="宋体" w:cs="宋体"/>
                <w:kern w:val="0"/>
                <w:szCs w:val="21"/>
                <w:highlight w:val="none"/>
              </w:rPr>
            </w:pPr>
            <w:r>
              <w:rPr>
                <w:rFonts w:hint="eastAsia" w:ascii="宋体" w:hAnsi="宋体" w:cs="宋体"/>
                <w:kern w:val="0"/>
                <w:szCs w:val="21"/>
                <w:highlight w:val="none"/>
              </w:rPr>
              <w:t>100≤Y＜500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交通运输业 *</w:t>
            </w: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人</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X≥1000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300≤X＜1000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20≤X＜300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360" w:lineRule="auto"/>
              <w:jc w:val="left"/>
              <w:rPr>
                <w:rFonts w:hint="eastAsia" w:ascii="宋体" w:hAnsi="宋体" w:cs="宋体"/>
                <w:kern w:val="0"/>
                <w:szCs w:val="21"/>
                <w:highlight w:val="none"/>
              </w:rPr>
            </w:pP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万元</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Y≥30000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3000≤Y＜30000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200≤Y＜3000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仓储业*</w:t>
            </w: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人</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X≥200</w:t>
            </w:r>
          </w:p>
        </w:tc>
        <w:tc>
          <w:tcPr>
            <w:tcW w:w="1701" w:type="dxa"/>
            <w:noWrap w:val="0"/>
            <w:vAlign w:val="center"/>
          </w:tcPr>
          <w:p>
            <w:pPr>
              <w:widowControl/>
              <w:spacing w:line="360" w:lineRule="auto"/>
              <w:ind w:left="19" w:leftChars="-51" w:hanging="126" w:hangingChars="60"/>
              <w:jc w:val="left"/>
              <w:rPr>
                <w:rFonts w:hint="eastAsia" w:ascii="宋体" w:hAnsi="宋体" w:cs="宋体"/>
                <w:kern w:val="0"/>
                <w:szCs w:val="21"/>
                <w:highlight w:val="none"/>
              </w:rPr>
            </w:pPr>
            <w:r>
              <w:rPr>
                <w:rFonts w:hint="eastAsia" w:ascii="宋体" w:hAnsi="宋体" w:cs="宋体"/>
                <w:kern w:val="0"/>
                <w:szCs w:val="21"/>
                <w:highlight w:val="none"/>
              </w:rPr>
              <w:t>100≤X＜200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20≤X＜100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360" w:lineRule="auto"/>
              <w:jc w:val="left"/>
              <w:rPr>
                <w:rFonts w:hint="eastAsia" w:ascii="宋体" w:hAnsi="宋体" w:cs="宋体"/>
                <w:kern w:val="0"/>
                <w:szCs w:val="21"/>
                <w:highlight w:val="none"/>
              </w:rPr>
            </w:pP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万元</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Y≥30000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1000≤Y＜30000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100≤Y＜1000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邮政业</w:t>
            </w: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人</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X≥1000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300≤X＜1000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20≤X＜300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360" w:lineRule="auto"/>
              <w:jc w:val="left"/>
              <w:rPr>
                <w:rFonts w:hint="eastAsia" w:ascii="宋体" w:hAnsi="宋体" w:cs="宋体"/>
                <w:kern w:val="0"/>
                <w:szCs w:val="21"/>
                <w:highlight w:val="none"/>
              </w:rPr>
            </w:pP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万元</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Y≥30000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2000≤Y＜30000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100≤Y＜2000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住宿业</w:t>
            </w: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人</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X≥300</w:t>
            </w:r>
          </w:p>
        </w:tc>
        <w:tc>
          <w:tcPr>
            <w:tcW w:w="1701" w:type="dxa"/>
            <w:noWrap w:val="0"/>
            <w:vAlign w:val="center"/>
          </w:tcPr>
          <w:p>
            <w:pPr>
              <w:widowControl/>
              <w:spacing w:line="360" w:lineRule="auto"/>
              <w:ind w:left="19" w:leftChars="-51" w:hanging="126" w:hangingChars="60"/>
              <w:jc w:val="left"/>
              <w:rPr>
                <w:rFonts w:hint="eastAsia" w:ascii="宋体" w:hAnsi="宋体" w:cs="宋体"/>
                <w:kern w:val="0"/>
                <w:szCs w:val="21"/>
                <w:highlight w:val="none"/>
              </w:rPr>
            </w:pPr>
            <w:r>
              <w:rPr>
                <w:rFonts w:hint="eastAsia" w:ascii="宋体" w:hAnsi="宋体" w:cs="宋体"/>
                <w:kern w:val="0"/>
                <w:szCs w:val="21"/>
                <w:highlight w:val="none"/>
              </w:rPr>
              <w:t>100≤X＜300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10≤X＜100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360" w:lineRule="auto"/>
              <w:jc w:val="left"/>
              <w:rPr>
                <w:rFonts w:hint="eastAsia" w:ascii="宋体" w:hAnsi="宋体" w:cs="宋体"/>
                <w:kern w:val="0"/>
                <w:szCs w:val="21"/>
                <w:highlight w:val="none"/>
              </w:rPr>
            </w:pP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万元</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Y≥10000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2000≤Y＜10000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100≤Y＜2000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餐饮业</w:t>
            </w: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人</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X≥300</w:t>
            </w:r>
          </w:p>
        </w:tc>
        <w:tc>
          <w:tcPr>
            <w:tcW w:w="1701" w:type="dxa"/>
            <w:noWrap w:val="0"/>
            <w:vAlign w:val="center"/>
          </w:tcPr>
          <w:p>
            <w:pPr>
              <w:widowControl/>
              <w:spacing w:line="360" w:lineRule="auto"/>
              <w:ind w:left="19" w:leftChars="-51" w:hanging="126" w:hangingChars="60"/>
              <w:jc w:val="left"/>
              <w:rPr>
                <w:rFonts w:hint="eastAsia" w:ascii="宋体" w:hAnsi="宋体" w:cs="宋体"/>
                <w:kern w:val="0"/>
                <w:szCs w:val="21"/>
                <w:highlight w:val="none"/>
              </w:rPr>
            </w:pPr>
            <w:r>
              <w:rPr>
                <w:rFonts w:hint="eastAsia" w:ascii="宋体" w:hAnsi="宋体" w:cs="宋体"/>
                <w:kern w:val="0"/>
                <w:szCs w:val="21"/>
                <w:highlight w:val="none"/>
              </w:rPr>
              <w:t>100≤X＜300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10≤X＜100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360" w:lineRule="auto"/>
              <w:jc w:val="left"/>
              <w:rPr>
                <w:rFonts w:hint="eastAsia" w:ascii="宋体" w:hAnsi="宋体" w:cs="宋体"/>
                <w:kern w:val="0"/>
                <w:szCs w:val="21"/>
                <w:highlight w:val="none"/>
              </w:rPr>
            </w:pP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万元</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Y≥10000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2000≤Y＜10000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100≤Y＜2000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信息传输业 *</w:t>
            </w: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人</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X≥2000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100≤X＜2000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10≤X＜100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360" w:lineRule="auto"/>
              <w:jc w:val="left"/>
              <w:rPr>
                <w:rFonts w:hint="eastAsia" w:ascii="宋体" w:hAnsi="宋体" w:cs="宋体"/>
                <w:kern w:val="0"/>
                <w:szCs w:val="21"/>
                <w:highlight w:val="none"/>
              </w:rPr>
            </w:pP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万元</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Y≥100000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1000≤Y＜100000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100≤Y＜1000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360" w:lineRule="auto"/>
              <w:jc w:val="left"/>
              <w:rPr>
                <w:rFonts w:hint="eastAsia" w:ascii="宋体" w:hAnsi="宋体" w:cs="宋体"/>
                <w:spacing w:val="-12"/>
                <w:kern w:val="0"/>
                <w:szCs w:val="21"/>
                <w:highlight w:val="none"/>
              </w:rPr>
            </w:pPr>
            <w:r>
              <w:rPr>
                <w:rFonts w:hint="eastAsia" w:ascii="宋体" w:hAnsi="宋体" w:cs="宋体"/>
                <w:spacing w:val="-12"/>
                <w:kern w:val="0"/>
                <w:szCs w:val="21"/>
                <w:highlight w:val="none"/>
              </w:rPr>
              <w:t>软件和信息技术服</w:t>
            </w:r>
            <w:r>
              <w:rPr>
                <w:rFonts w:hint="eastAsia" w:ascii="宋体" w:hAnsi="宋体" w:cs="宋体"/>
                <w:kern w:val="0"/>
                <w:szCs w:val="21"/>
                <w:highlight w:val="none"/>
              </w:rPr>
              <w:t>务业</w:t>
            </w: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人</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X≥300</w:t>
            </w:r>
          </w:p>
        </w:tc>
        <w:tc>
          <w:tcPr>
            <w:tcW w:w="1701" w:type="dxa"/>
            <w:noWrap w:val="0"/>
            <w:vAlign w:val="center"/>
          </w:tcPr>
          <w:p>
            <w:pPr>
              <w:widowControl/>
              <w:spacing w:line="360" w:lineRule="auto"/>
              <w:ind w:left="19" w:leftChars="-51" w:hanging="126" w:hangingChars="60"/>
              <w:jc w:val="left"/>
              <w:rPr>
                <w:rFonts w:hint="eastAsia" w:ascii="宋体" w:hAnsi="宋体" w:cs="宋体"/>
                <w:kern w:val="0"/>
                <w:szCs w:val="21"/>
                <w:highlight w:val="none"/>
              </w:rPr>
            </w:pPr>
            <w:r>
              <w:rPr>
                <w:rFonts w:hint="eastAsia" w:ascii="宋体" w:hAnsi="宋体" w:cs="宋体"/>
                <w:kern w:val="0"/>
                <w:szCs w:val="21"/>
                <w:highlight w:val="none"/>
              </w:rPr>
              <w:t>100≤X＜300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10≤X＜100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jc w:val="center"/>
        </w:trPr>
        <w:tc>
          <w:tcPr>
            <w:tcW w:w="2113" w:type="dxa"/>
            <w:vMerge w:val="continue"/>
            <w:noWrap w:val="0"/>
            <w:vAlign w:val="center"/>
          </w:tcPr>
          <w:p>
            <w:pPr>
              <w:widowControl/>
              <w:spacing w:line="360" w:lineRule="auto"/>
              <w:jc w:val="left"/>
              <w:rPr>
                <w:rFonts w:hint="eastAsia" w:ascii="宋体" w:hAnsi="宋体" w:cs="宋体"/>
                <w:spacing w:val="-12"/>
                <w:kern w:val="0"/>
                <w:szCs w:val="21"/>
                <w:highlight w:val="none"/>
              </w:rPr>
            </w:pP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万元</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Y≥10000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1000≤Y＜10000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50≤Y＜1000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房地产开发经营</w:t>
            </w: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万元</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Y≥200000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1000≤Y＜200000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100≤Y＜1000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360" w:lineRule="auto"/>
              <w:jc w:val="left"/>
              <w:rPr>
                <w:rFonts w:hint="eastAsia" w:ascii="宋体" w:hAnsi="宋体" w:cs="宋体"/>
                <w:kern w:val="0"/>
                <w:szCs w:val="21"/>
                <w:highlight w:val="none"/>
              </w:rPr>
            </w:pP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资产总额(Z)</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万元</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Z≥10000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5000≤Z＜10000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2000≤Z＜5000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物业管理</w:t>
            </w: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人</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X≥1000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300≤X＜1000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100≤X＜300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360" w:lineRule="auto"/>
              <w:jc w:val="left"/>
              <w:rPr>
                <w:rFonts w:hint="eastAsia" w:ascii="宋体" w:hAnsi="宋体" w:cs="宋体"/>
                <w:kern w:val="0"/>
                <w:szCs w:val="21"/>
                <w:highlight w:val="none"/>
              </w:rPr>
            </w:pP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万元</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Y≥5000</w:t>
            </w:r>
          </w:p>
        </w:tc>
        <w:tc>
          <w:tcPr>
            <w:tcW w:w="1701" w:type="dxa"/>
            <w:noWrap w:val="0"/>
            <w:vAlign w:val="center"/>
          </w:tcPr>
          <w:p>
            <w:pPr>
              <w:widowControl/>
              <w:spacing w:line="360" w:lineRule="auto"/>
              <w:ind w:left="19" w:leftChars="-51" w:hanging="126" w:hangingChars="60"/>
              <w:jc w:val="left"/>
              <w:rPr>
                <w:rFonts w:hint="eastAsia" w:ascii="宋体" w:hAnsi="宋体" w:cs="宋体"/>
                <w:kern w:val="0"/>
                <w:szCs w:val="21"/>
                <w:highlight w:val="none"/>
              </w:rPr>
            </w:pPr>
            <w:r>
              <w:rPr>
                <w:rFonts w:hint="eastAsia" w:ascii="宋体" w:hAnsi="宋体" w:cs="宋体"/>
                <w:kern w:val="0"/>
                <w:szCs w:val="21"/>
                <w:highlight w:val="none"/>
              </w:rPr>
              <w:t>1000≤Y＜5000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500≤Y＜1000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租赁和商务服务业</w:t>
            </w: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人</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X≥300</w:t>
            </w:r>
          </w:p>
        </w:tc>
        <w:tc>
          <w:tcPr>
            <w:tcW w:w="1701" w:type="dxa"/>
            <w:noWrap w:val="0"/>
            <w:vAlign w:val="center"/>
          </w:tcPr>
          <w:p>
            <w:pPr>
              <w:widowControl/>
              <w:spacing w:line="360" w:lineRule="auto"/>
              <w:ind w:left="19" w:leftChars="-51" w:hanging="126" w:hangingChars="60"/>
              <w:jc w:val="left"/>
              <w:rPr>
                <w:rFonts w:hint="eastAsia" w:ascii="宋体" w:hAnsi="宋体" w:cs="宋体"/>
                <w:kern w:val="0"/>
                <w:szCs w:val="21"/>
                <w:highlight w:val="none"/>
              </w:rPr>
            </w:pPr>
            <w:r>
              <w:rPr>
                <w:rFonts w:hint="eastAsia" w:ascii="宋体" w:hAnsi="宋体" w:cs="宋体"/>
                <w:kern w:val="0"/>
                <w:szCs w:val="21"/>
                <w:highlight w:val="none"/>
              </w:rPr>
              <w:t>100≤X＜300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10≤X＜100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2113" w:type="dxa"/>
            <w:vMerge w:val="continue"/>
            <w:noWrap w:val="0"/>
            <w:vAlign w:val="center"/>
          </w:tcPr>
          <w:p>
            <w:pPr>
              <w:widowControl/>
              <w:spacing w:line="360" w:lineRule="auto"/>
              <w:jc w:val="left"/>
              <w:rPr>
                <w:rFonts w:hint="eastAsia" w:ascii="宋体" w:hAnsi="宋体" w:cs="宋体"/>
                <w:kern w:val="0"/>
                <w:szCs w:val="21"/>
                <w:highlight w:val="none"/>
              </w:rPr>
            </w:pP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资产总额(Z)</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万元</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Z≥120000</w:t>
            </w:r>
          </w:p>
        </w:tc>
        <w:tc>
          <w:tcPr>
            <w:tcW w:w="1701"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8000≤Z＜120000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100≤Z＜8000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其他未列明行业 *</w:t>
            </w:r>
          </w:p>
        </w:tc>
        <w:tc>
          <w:tcPr>
            <w:tcW w:w="1369"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人</w:t>
            </w:r>
          </w:p>
        </w:tc>
        <w:tc>
          <w:tcPr>
            <w:tcW w:w="1007"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X≥300</w:t>
            </w:r>
          </w:p>
        </w:tc>
        <w:tc>
          <w:tcPr>
            <w:tcW w:w="1701" w:type="dxa"/>
            <w:noWrap w:val="0"/>
            <w:vAlign w:val="center"/>
          </w:tcPr>
          <w:p>
            <w:pPr>
              <w:widowControl/>
              <w:spacing w:line="360" w:lineRule="auto"/>
              <w:ind w:left="19" w:leftChars="-51" w:hanging="126" w:hangingChars="60"/>
              <w:jc w:val="left"/>
              <w:rPr>
                <w:rFonts w:hint="eastAsia" w:ascii="宋体" w:hAnsi="宋体" w:cs="宋体"/>
                <w:kern w:val="0"/>
                <w:szCs w:val="21"/>
                <w:highlight w:val="none"/>
              </w:rPr>
            </w:pPr>
            <w:r>
              <w:rPr>
                <w:rFonts w:hint="eastAsia" w:ascii="宋体" w:hAnsi="宋体" w:cs="宋体"/>
                <w:kern w:val="0"/>
                <w:szCs w:val="21"/>
                <w:highlight w:val="none"/>
              </w:rPr>
              <w:t>100≤X＜300</w:t>
            </w:r>
          </w:p>
        </w:tc>
        <w:tc>
          <w:tcPr>
            <w:tcW w:w="1426"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10≤X＜100</w:t>
            </w:r>
          </w:p>
        </w:tc>
        <w:tc>
          <w:tcPr>
            <w:tcW w:w="992" w:type="dxa"/>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X＜10</w:t>
            </w:r>
          </w:p>
        </w:tc>
      </w:tr>
    </w:tbl>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说明：</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　　1.大型、中型和小型企业须同时满足所列指标的下限，否则下划一档；微型企业只须满足所列指标中的一项即可。</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3"/>
        <w:rPr>
          <w:rStyle w:val="7"/>
          <w:rFonts w:hint="eastAsia" w:ascii="宋体" w:hAnsi="宋体" w:cs="宋体"/>
          <w:b/>
          <w:highlight w:val="none"/>
        </w:rPr>
      </w:pPr>
      <w:r>
        <w:rPr>
          <w:rFonts w:hint="eastAsia"/>
          <w:highlight w:val="none"/>
          <w:lang w:val="en-US"/>
        </w:rPr>
        <w:br w:type="page"/>
      </w:r>
      <w:r>
        <w:rPr>
          <w:rStyle w:val="7"/>
          <w:rFonts w:hint="eastAsia" w:ascii="宋体" w:hAnsi="宋体" w:cs="宋体"/>
          <w:b/>
          <w:highlight w:val="none"/>
        </w:rPr>
        <w:t>附件4：关于促进残疾人就业政府采购政策的通知</w:t>
      </w:r>
    </w:p>
    <w:p>
      <w:pPr>
        <w:widowControl/>
        <w:wordWrap w:val="0"/>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pPr>
        <w:widowControl/>
        <w:wordWrap w:val="0"/>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为了发挥政府采购促进残疾人就业的作用，进一步保障残疾人权益，依照《政府采购法》、《残疾人保障法》等法律法规及相关规定，现就促进残疾人就业政府采购政策通知如下：</w:t>
      </w:r>
    </w:p>
    <w:p>
      <w:pPr>
        <w:widowControl/>
        <w:wordWrap w:val="0"/>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一、享受政府采购支持政策的残疾人福利性单位应当同时满足以下条件：</w:t>
      </w:r>
    </w:p>
    <w:p>
      <w:pPr>
        <w:widowControl/>
        <w:wordWrap w:val="0"/>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(一) 安置的残疾人占本单位在职职工人数的比例不低于25%(含25%)，并且安置的残疾人人数不少于10人(含10人)；</w:t>
      </w:r>
    </w:p>
    <w:p>
      <w:pPr>
        <w:widowControl/>
        <w:wordWrap w:val="0"/>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(二) 依法与安置的每位残疾人签订了一年以上(含一年)的劳动合同或服务协议；</w:t>
      </w:r>
    </w:p>
    <w:p>
      <w:pPr>
        <w:widowControl/>
        <w:wordWrap w:val="0"/>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(三) 为安置的每位残疾人按月足额缴纳了基本养老保险、基本医疗保险、失业保险、工伤保险和生育保险等社会保险费；</w:t>
      </w:r>
    </w:p>
    <w:p>
      <w:pPr>
        <w:widowControl/>
        <w:wordWrap w:val="0"/>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(四) 通过银行等金融机构向安置的每位残疾人，按月支付了不低于单位所在区县适用的经省级人民政府批准的月最低工资标准的工资；</w:t>
      </w:r>
    </w:p>
    <w:p>
      <w:pPr>
        <w:widowControl/>
        <w:wordWrap w:val="0"/>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(五) 提供本单位制造的货物、承担的工程或者服务(以下简称产品)，或者提供其他残疾人福利性单位制造的货物(不包括使用非残疾人福利性单位注册商标的货物)。</w:t>
      </w:r>
    </w:p>
    <w:p>
      <w:pPr>
        <w:widowControl/>
        <w:wordWrap w:val="0"/>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widowControl/>
        <w:wordWrap w:val="0"/>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widowControl/>
        <w:wordWrap w:val="0"/>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中标、成交供应商为残疾人福利性单位的，采购人或者其委托的采购代理机构应当随中标、成交结果同时公告其《残疾人福利性单位声明函》，接受社会监督。</w:t>
      </w:r>
    </w:p>
    <w:p>
      <w:pPr>
        <w:widowControl/>
        <w:wordWrap w:val="0"/>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供应商提供的《残疾人福利性单位声明函》与事实不符的，依照《政府采购法》第七十七条第一款的规定追究法律责任。</w:t>
      </w:r>
    </w:p>
    <w:p>
      <w:pPr>
        <w:widowControl/>
        <w:wordWrap w:val="0"/>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widowControl/>
        <w:wordWrap w:val="0"/>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四、采购人采购公开招标数额标准以上的货物或者服务，因落实促进残疾人就业政策的需要，依法履行有关报批程序后，可采用公开招标以外的采购方式。</w:t>
      </w:r>
    </w:p>
    <w:p>
      <w:pPr>
        <w:widowControl/>
        <w:wordWrap w:val="0"/>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widowControl/>
        <w:wordWrap w:val="0"/>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widowControl/>
        <w:wordWrap w:val="0"/>
        <w:spacing w:line="360" w:lineRule="auto"/>
        <w:ind w:firstLine="420"/>
        <w:jc w:val="left"/>
        <w:rPr>
          <w:rFonts w:hint="eastAsia" w:ascii="宋体" w:hAnsi="宋体" w:cs="宋体"/>
          <w:szCs w:val="21"/>
          <w:highlight w:val="none"/>
        </w:rPr>
      </w:pPr>
      <w:r>
        <w:rPr>
          <w:rFonts w:hint="eastAsia" w:ascii="宋体" w:hAnsi="宋体" w:cs="宋体"/>
          <w:kern w:val="0"/>
          <w:szCs w:val="21"/>
          <w:highlight w:val="none"/>
          <w:lang w:bidi="ar"/>
        </w:rPr>
        <w:t>七、本通知自</w:t>
      </w:r>
      <w:r>
        <w:rPr>
          <w:rStyle w:val="6"/>
          <w:rFonts w:hint="eastAsia" w:ascii="宋体" w:hAnsi="宋体" w:cs="宋体"/>
          <w:kern w:val="0"/>
          <w:szCs w:val="21"/>
          <w:highlight w:val="none"/>
          <w:lang w:bidi="ar"/>
        </w:rPr>
        <w:t>2017年10月1日</w:t>
      </w:r>
      <w:r>
        <w:rPr>
          <w:rFonts w:hint="eastAsia" w:ascii="宋体" w:hAnsi="宋体" w:cs="宋体"/>
          <w:kern w:val="0"/>
          <w:szCs w:val="21"/>
          <w:highlight w:val="none"/>
          <w:lang w:bidi="ar"/>
        </w:rPr>
        <w:t>起执行。</w:t>
      </w:r>
    </w:p>
    <w:p>
      <w:pPr>
        <w:widowControl/>
        <w:wordWrap w:val="0"/>
        <w:spacing w:line="360" w:lineRule="auto"/>
        <w:ind w:firstLine="420"/>
        <w:jc w:val="right"/>
        <w:rPr>
          <w:rFonts w:hint="eastAsia" w:ascii="宋体" w:hAnsi="宋体" w:cs="宋体"/>
          <w:szCs w:val="21"/>
          <w:highlight w:val="none"/>
        </w:rPr>
      </w:pPr>
      <w:r>
        <w:rPr>
          <w:rFonts w:hint="eastAsia" w:ascii="宋体" w:hAnsi="宋体" w:cs="宋体"/>
          <w:kern w:val="0"/>
          <w:szCs w:val="21"/>
          <w:highlight w:val="none"/>
          <w:lang w:bidi="ar"/>
        </w:rPr>
        <w:t>　　财政部 民政部 中国残疾人联合会</w:t>
      </w:r>
    </w:p>
    <w:p>
      <w:pPr>
        <w:widowControl/>
        <w:wordWrap w:val="0"/>
        <w:spacing w:line="360" w:lineRule="auto"/>
        <w:ind w:firstLine="420"/>
        <w:jc w:val="right"/>
        <w:rPr>
          <w:rFonts w:hint="eastAsia" w:ascii="宋体" w:hAnsi="宋体" w:cs="宋体"/>
          <w:spacing w:val="6"/>
          <w:szCs w:val="21"/>
          <w:highlight w:val="none"/>
          <w:lang w:val="zh-CN"/>
        </w:rPr>
      </w:pPr>
      <w:r>
        <w:rPr>
          <w:rFonts w:hint="eastAsia" w:ascii="宋体" w:hAnsi="宋体" w:cs="宋体"/>
          <w:kern w:val="0"/>
          <w:szCs w:val="21"/>
          <w:highlight w:val="none"/>
          <w:lang w:bidi="ar"/>
        </w:rPr>
        <w:t>　　2017年8月22日</w:t>
      </w:r>
    </w:p>
    <w:p>
      <w:pPr>
        <w:tabs>
          <w:tab w:val="left" w:pos="4860"/>
        </w:tabs>
        <w:spacing w:line="360" w:lineRule="auto"/>
        <w:ind w:right="108"/>
        <w:jc w:val="left"/>
        <w:rPr>
          <w:rFonts w:hint="eastAsia" w:ascii="宋体" w:hAnsi="宋体" w:cs="宋体"/>
          <w:spacing w:val="6"/>
          <w:szCs w:val="21"/>
          <w:highlight w:val="none"/>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3ZjE0MTQxNzc3YWFjYmEyZWIxYTA0MTE4NTcwYTgifQ=="/>
  </w:docVars>
  <w:rsids>
    <w:rsidRoot w:val="0C7F649F"/>
    <w:rsid w:val="0C7F6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7"/>
    <w:qFormat/>
    <w:uiPriority w:val="0"/>
    <w:pPr>
      <w:keepNext/>
      <w:keepLines/>
      <w:spacing w:before="260" w:after="260" w:line="415" w:lineRule="auto"/>
      <w:jc w:val="center"/>
      <w:outlineLvl w:val="1"/>
    </w:pPr>
    <w:rPr>
      <w:rFonts w:ascii="Arial" w:hAnsi="Arial" w:eastAsia="宋体"/>
      <w:b/>
      <w:sz w:val="32"/>
      <w:szCs w:val="32"/>
      <w:lang w:val="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character" w:styleId="6">
    <w:name w:val="Strong"/>
    <w:basedOn w:val="5"/>
    <w:qFormat/>
    <w:uiPriority w:val="22"/>
    <w:rPr>
      <w:b/>
      <w:bCs/>
    </w:rPr>
  </w:style>
  <w:style w:type="character" w:customStyle="1" w:styleId="7">
    <w:name w:val="标题 2 Char"/>
    <w:basedOn w:val="5"/>
    <w:link w:val="3"/>
    <w:qFormat/>
    <w:uiPriority w:val="0"/>
    <w:rPr>
      <w:rFonts w:ascii="Arial" w:hAnsi="Arial" w:eastAsia="宋体"/>
      <w:b/>
      <w:sz w:val="32"/>
      <w:szCs w:val="32"/>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2022-07-28T08:49:00Z</dcterms:created>
  <dc:creator>深圳市正德招标代理有限公司</dc:creator>
  <cp:lastModifiedBy>深圳市正德招标代理有限公司</cp:lastModifiedBy>
  <dcterms:modified xsi:type="dcterms:W3CDTF">2022-07-28T08:50:14Z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4FA5D98CD6744D62BFDA6534451B6428</vt:lpwstr>
  </property>
</Properties>
</file>