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center"/>
        <w:rPr>
          <w:rFonts w:hint="eastAsia" w:ascii="宋体" w:hAnsi="宋体" w:eastAsia="宋体" w:cs="宋体"/>
          <w:b w:val="0"/>
          <w:highlight w:val="none"/>
        </w:rPr>
      </w:pPr>
      <w:bookmarkStart w:id="0" w:name="_Toc30695"/>
      <w:bookmarkStart w:id="1" w:name="_Toc31257"/>
      <w:r>
        <w:rPr>
          <w:rFonts w:hint="eastAsia" w:ascii="宋体" w:hAnsi="宋体" w:eastAsia="宋体" w:cs="宋体"/>
          <w:b w:val="0"/>
          <w:highlight w:val="none"/>
        </w:rPr>
        <w:t>中小企业声明函（如适用）</w:t>
      </w:r>
      <w:bookmarkEnd w:id="0"/>
      <w:bookmarkEnd w:id="1"/>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本公司（联合体）郑重声明，根据《政府采购促进中小企业发展管理办法》（财库﹝2020﹞46 号）的规定，本公司（联合体）参加</w:t>
      </w:r>
      <w:r>
        <w:rPr>
          <w:rFonts w:hint="eastAsia" w:ascii="宋体" w:hAnsi="宋体" w:eastAsia="宋体" w:cs="宋体"/>
          <w:szCs w:val="21"/>
          <w:highlight w:val="none"/>
          <w:u w:val="single"/>
        </w:rPr>
        <w:t>（单位名称）</w:t>
      </w:r>
      <w:r>
        <w:rPr>
          <w:rFonts w:hint="eastAsia" w:ascii="宋体" w:hAnsi="宋体" w:eastAsia="宋体" w:cs="宋体"/>
          <w:szCs w:val="21"/>
          <w:highlight w:val="none"/>
        </w:rPr>
        <w:t>的</w:t>
      </w:r>
      <w:r>
        <w:rPr>
          <w:rFonts w:hint="eastAsia" w:ascii="宋体" w:hAnsi="宋体" w:eastAsia="宋体" w:cs="宋体"/>
          <w:szCs w:val="21"/>
          <w:highlight w:val="none"/>
          <w:u w:val="single"/>
        </w:rPr>
        <w:t>（项目名称）</w:t>
      </w:r>
      <w:r>
        <w:rPr>
          <w:rFonts w:hint="eastAsia" w:ascii="宋体" w:hAnsi="宋体" w:eastAsia="宋体" w:cs="宋体"/>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 xml:space="preserve"> （标的名称） </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建筑业 </w:t>
      </w:r>
      <w:r>
        <w:rPr>
          <w:rFonts w:hint="eastAsia" w:ascii="宋体" w:hAnsi="宋体" w:eastAsia="宋体" w:cs="宋体"/>
          <w:szCs w:val="21"/>
          <w:highlight w:val="none"/>
        </w:rPr>
        <w:t>；承建（承接）企业为</w:t>
      </w:r>
      <w:r>
        <w:rPr>
          <w:rFonts w:hint="eastAsia" w:ascii="宋体" w:hAnsi="宋体" w:eastAsia="宋体" w:cs="宋体"/>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万元¹，属于（中型企业、小型企业、微型企业）；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 </w:t>
      </w:r>
      <w:r>
        <w:rPr>
          <w:rFonts w:hint="eastAsia" w:ascii="宋体" w:hAnsi="宋体" w:eastAsia="宋体" w:cs="宋体"/>
          <w:szCs w:val="21"/>
          <w:highlight w:val="none"/>
          <w:u w:val="single"/>
        </w:rPr>
        <w:t xml:space="preserve">（标的名称） </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建筑业 </w:t>
      </w:r>
      <w:r>
        <w:rPr>
          <w:rFonts w:hint="eastAsia" w:ascii="宋体" w:hAnsi="宋体" w:eastAsia="宋体" w:cs="宋体"/>
          <w:szCs w:val="21"/>
          <w:highlight w:val="none"/>
        </w:rPr>
        <w:t>； 承建（承接）企业为</w:t>
      </w:r>
      <w:r>
        <w:rPr>
          <w:rFonts w:hint="eastAsia" w:ascii="宋体" w:hAnsi="宋体" w:eastAsia="宋体" w:cs="宋体"/>
          <w:szCs w:val="21"/>
          <w:highlight w:val="none"/>
          <w:u w:val="single"/>
        </w:rPr>
        <w:t>（企业名称）</w:t>
      </w:r>
      <w:r>
        <w:rPr>
          <w:rFonts w:hint="eastAsia" w:ascii="宋体" w:hAnsi="宋体" w:eastAsia="宋体" w:cs="宋体"/>
          <w:szCs w:val="21"/>
          <w:highlight w:val="none"/>
        </w:rPr>
        <w:t xml:space="preserve">，从业人员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szCs w:val="21"/>
          <w:highlight w:val="none"/>
          <w:u w:val="single"/>
        </w:rPr>
        <w:t>（中型企业、小型企业、微型企业）</w:t>
      </w:r>
      <w:r>
        <w:rPr>
          <w:rFonts w:hint="eastAsia" w:ascii="宋体" w:hAnsi="宋体" w:eastAsia="宋体" w:cs="宋体"/>
          <w:szCs w:val="21"/>
          <w:highlight w:val="none"/>
        </w:rPr>
        <w:t xml:space="preserve">；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本企业对上述声明内容的真实性负责。如有虚假，将依法承担相应责任。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w:t>
      </w:r>
    </w:p>
    <w:p>
      <w:pPr>
        <w:wordWrap w:val="0"/>
        <w:spacing w:line="360" w:lineRule="auto"/>
        <w:ind w:firstLine="420" w:firstLineChars="200"/>
        <w:rPr>
          <w:rFonts w:hint="eastAsia" w:ascii="宋体" w:hAnsi="宋体" w:eastAsia="宋体" w:cs="宋体"/>
          <w:szCs w:val="21"/>
          <w:highlight w:val="none"/>
        </w:rPr>
      </w:pPr>
    </w:p>
    <w:p>
      <w:pPr>
        <w:wordWrap w:val="0"/>
        <w:spacing w:line="360" w:lineRule="auto"/>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xml:space="preserve">投标人单位名称：   </w:t>
      </w:r>
    </w:p>
    <w:p>
      <w:pPr>
        <w:wordWrap w:val="0"/>
        <w:spacing w:line="360" w:lineRule="auto"/>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xml:space="preserve">日期：       </w:t>
      </w:r>
    </w:p>
    <w:p>
      <w:pPr>
        <w:spacing w:line="360" w:lineRule="auto"/>
        <w:ind w:firstLine="420" w:firstLineChars="200"/>
        <w:rPr>
          <w:rFonts w:hint="eastAsia" w:ascii="宋体" w:hAnsi="宋体" w:eastAsia="宋体" w:cs="宋体"/>
          <w:szCs w:val="21"/>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¹从业人员、营业收入、资产总额填报上一年度数据，无上一年度数据的新成立企业可不填报。</w:t>
      </w:r>
    </w:p>
    <w:p>
      <w:pPr>
        <w:wordWrap w:val="0"/>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pStyle w:val="4"/>
        <w:adjustRightInd w:val="0"/>
        <w:snapToGrid w:val="0"/>
        <w:spacing w:before="0" w:after="0" w:line="360" w:lineRule="auto"/>
        <w:jc w:val="center"/>
        <w:rPr>
          <w:rFonts w:hint="eastAsia" w:ascii="宋体" w:hAnsi="宋体" w:eastAsia="宋体" w:cs="宋体"/>
          <w:b w:val="0"/>
          <w:highlight w:val="none"/>
        </w:rPr>
      </w:pPr>
      <w:bookmarkStart w:id="2" w:name="_Toc15686"/>
      <w:bookmarkStart w:id="3" w:name="_Toc29017"/>
      <w:r>
        <w:rPr>
          <w:rFonts w:hint="eastAsia" w:ascii="宋体" w:hAnsi="宋体" w:eastAsia="宋体" w:cs="宋体"/>
          <w:b w:val="0"/>
          <w:highlight w:val="none"/>
        </w:rPr>
        <w:t>监狱企业的证明文件（如适用）</w:t>
      </w:r>
      <w:bookmarkEnd w:id="2"/>
      <w:bookmarkEnd w:id="3"/>
    </w:p>
    <w:p>
      <w:pPr>
        <w:spacing w:line="360" w:lineRule="auto"/>
        <w:ind w:firstLine="308" w:firstLineChars="147"/>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说明：监狱企业参加政府采购活动时，应当提供由省级以上监狱管理局、戒毒管理局（含新疆生产建设兵团）出具的属于监狱企业的证明文件复印件，并加盖投标单位公章。</w:t>
      </w:r>
    </w:p>
    <w:p>
      <w:pPr>
        <w:spacing w:line="360" w:lineRule="auto"/>
        <w:ind w:firstLine="310" w:firstLineChars="147"/>
        <w:rPr>
          <w:rFonts w:hint="eastAsia" w:ascii="宋体" w:hAnsi="宋体" w:eastAsia="宋体" w:cs="宋体"/>
          <w:b/>
          <w:highlight w:val="none"/>
        </w:rPr>
      </w:pPr>
    </w:p>
    <w:p>
      <w:pPr>
        <w:pStyle w:val="4"/>
        <w:adjustRightInd w:val="0"/>
        <w:snapToGrid w:val="0"/>
        <w:spacing w:before="0" w:after="0" w:line="360" w:lineRule="auto"/>
        <w:jc w:val="center"/>
        <w:rPr>
          <w:rFonts w:hint="eastAsia" w:ascii="宋体" w:hAnsi="宋体" w:eastAsia="宋体" w:cs="宋体"/>
          <w:b w:val="0"/>
          <w:highlight w:val="none"/>
        </w:rPr>
      </w:pPr>
      <w:bookmarkStart w:id="4" w:name="_Toc15978"/>
      <w:bookmarkStart w:id="5" w:name="_Toc28594"/>
      <w:bookmarkStart w:id="6" w:name="OLE_LINK14"/>
      <w:bookmarkStart w:id="7" w:name="OLE_LINK13"/>
      <w:r>
        <w:rPr>
          <w:rFonts w:hint="eastAsia" w:ascii="宋体" w:hAnsi="宋体" w:eastAsia="宋体" w:cs="宋体"/>
          <w:b w:val="0"/>
          <w:highlight w:val="none"/>
        </w:rPr>
        <w:t>残疾人福利性单位声明函（如适用）</w:t>
      </w:r>
      <w:bookmarkEnd w:id="4"/>
      <w:bookmarkEnd w:id="5"/>
    </w:p>
    <w:bookmarkEnd w:id="6"/>
    <w:bookmarkEnd w:id="7"/>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本单位郑重声明，根据《财政部 民政部 中国残疾人联合会关于促进残疾人就业政府采购政策的通知》（财库</w:t>
      </w:r>
      <w:r>
        <w:rPr>
          <w:rFonts w:hint="eastAsia" w:ascii="宋体" w:hAnsi="宋体" w:eastAsia="宋体" w:cs="宋体"/>
          <w:szCs w:val="21"/>
          <w:highlight w:val="none"/>
        </w:rPr>
        <w:t>〔2017〕 141</w:t>
      </w:r>
      <w:r>
        <w:rPr>
          <w:rFonts w:hint="eastAsia" w:ascii="宋体" w:hAnsi="宋体" w:eastAsia="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本单位对上述声明的真实性负责。如有虚假，将依法承担相应责任。</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投标人知悉《关于促进残疾人就业政府采购政策的通知》（财库〔2017〕141号）的规定，承诺提供的声明函内容是真实的，如提供声明函内容不实，则依法追究相关法律责任。</w:t>
      </w:r>
    </w:p>
    <w:p>
      <w:pPr>
        <w:jc w:val="left"/>
        <w:rPr>
          <w:rFonts w:hint="eastAsia" w:ascii="宋体" w:hAnsi="宋体" w:eastAsia="宋体" w:cs="宋体"/>
          <w:highlight w:val="none"/>
        </w:rPr>
      </w:pPr>
    </w:p>
    <w:p>
      <w:pPr>
        <w:tabs>
          <w:tab w:val="left" w:pos="4860"/>
        </w:tabs>
        <w:spacing w:line="360" w:lineRule="auto"/>
        <w:ind w:left="6237" w:leftChars="2970" w:right="108"/>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单位名称（盖章）：</w:t>
      </w:r>
    </w:p>
    <w:p>
      <w:pPr>
        <w:tabs>
          <w:tab w:val="left" w:pos="4860"/>
        </w:tabs>
        <w:spacing w:line="360" w:lineRule="auto"/>
        <w:ind w:left="6237" w:leftChars="2970" w:right="108"/>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日  期：</w:t>
      </w:r>
    </w:p>
    <w:p>
      <w:pPr>
        <w:jc w:val="left"/>
        <w:rPr>
          <w:rStyle w:val="9"/>
          <w:rFonts w:hint="eastAsia"/>
          <w:highlight w:val="none"/>
        </w:rPr>
      </w:pPr>
      <w:r>
        <w:rPr>
          <w:rFonts w:hint="eastAsia" w:ascii="宋体" w:hAnsi="宋体" w:cs="宋体"/>
          <w:spacing w:val="6"/>
          <w:szCs w:val="21"/>
          <w:highlight w:val="none"/>
        </w:rPr>
        <w:br w:type="page"/>
      </w:r>
      <w:bookmarkStart w:id="8" w:name="_Toc7494"/>
      <w:r>
        <w:rPr>
          <w:rStyle w:val="9"/>
          <w:rFonts w:hint="eastAsia"/>
          <w:highlight w:val="none"/>
          <w:lang w:val="zh-CN"/>
        </w:rPr>
        <w:t>附件</w:t>
      </w:r>
      <w:r>
        <w:rPr>
          <w:rStyle w:val="9"/>
          <w:rFonts w:hint="eastAsia"/>
          <w:highlight w:val="none"/>
        </w:rPr>
        <w:t>1：政府采购促进中小企业发展管理办法</w:t>
      </w:r>
    </w:p>
    <w:bookmarkEnd w:id="8"/>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第一条 为了发挥政府采购的政策功能，促进中小企业健康发展，根据《中华人民共和国政府采购法》、《中华人民共和国中小企业促进法》等有关法律法规，制定本办法。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第三条 采购人在政府采购活动中应当通过加强采购需求管理，落实预留采购份额、价格评审优惠、优先采购等措施，提高中小企业在政府采购中的份额，支持中小企业发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展。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第四条 在政府采购活动中，供应商提供的货物、工程或者服务符合下列情形的，享受本办法规定的中小企业扶持政策：</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（一）在货物采购项目中，货物由中小企业制造，即货物由中小企业生产且使用该中小企业商号或者注册商标；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（二）在工程采购项目中，工程由中小企业承建，即工程施工单位为中小企业；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（一）法律法规和国家有关政策明确规定优先或者应当面向事业单位、社会组织等非企业主体采购的；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（二）因确需使用不可替代的专利、专有技术，基础设施限制，或者提供特定公共服务等原因，只能从中小企业之外的供应商处采购的；</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（三）按照本办法规定预留采购份额无法确保充分供应、充分竞争，或者存在可能影响政府采购目标实现的情形；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（四）框架协议采购项目；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（五）省级以上人民政府财政部门规定的其他情形。 除上述情形外，其他均为适宜由中小企业提供的情形。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第七条 采购限额标准以上，200 万元以下的货物和服务采购项目、400 万元以下的工程采购项目，适宜由中小企业提供的，采购人应当专门面向中小企业采购。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第八条 超过 200 万元的货物和服务采购项目、超过 400 万元的工程采购项目中适宜由中小企业提供的，预留该部分采购项目预算总额的 30%以上专门面向中小企业采购，其中预留给小微企业的比例不低于60%。预留份额通过下列措施进行：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（一）将采购项目整体或者设置采购包专门面向中小企业采购；</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（二）要求供应商以联合体形式参加采购活动，且联合体中中小企业承担的部分达到一定比例；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第十一条 中小企业参加政府采购活动，应当出具本办法规定的《中小企业声明函》（附 1），否则不得享受相关中小企业扶持政策。任何单位和个人不得要求供应商提供《中小企业声明函》之外的中小企业身份证明文件。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第十二条 采购项目涉及中小企业采购的，采购文件应当明确以下内容：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（一）预留份额的采购项目或者采购包，明确该项目或相关采购包专门面向中小企业采购，以及相关标的及预算金额；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（二）要求以联合体形式参加或者合同分包的，明确联合协议或者分包意向协议中中小企业合同金额应当达到的比例，并作为供应商资格条件；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（三）非预留份额的采购项目或者采购包，明确有关价格扣除比例或者价格分加分比例；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（四）规定依据本办法规定享受扶持政策获得政府采购合同的，小微企业不得将合同分包给大中型企业，中型企业不得将合同分包给大型企业；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（五）采购人认为具备相关条件的，明确对中小企业在资金支付期限、预付款比例等方面的优惠措施；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（六）明确采购标的对应的中小企业划分标准所属行业；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（七）法律法规和省级以上人民政府财政部门规定的其他事项。</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第十三条 中标、成交供应商享受本办法规定的中小企业扶持政策的，采购人、采购代理机构应当随中标、成交结果公开中标、成交供应商的《中小企业声明函》。 适用招标投标法的政府采购工程建设项目，应当在公示中标候选人时公开中标候选人的《中小企业声明函》。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第十五条 鼓励各地区、各部门在采购活动中允许中小企业引入信用担保手段，为中小企业在投标（响应）保证、履约保证等方面提供专业化服务。鼓励中小企业依法合规通过政府采购合同融资。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pPr>
        <w:widowControl/>
        <w:spacing w:line="360" w:lineRule="auto"/>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第二十二条 对外援助项目、国家相关资格或者资质管理制度另有规定的项目，不适用本办法。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第二十三条 关于视同中小企业的其他主体的政府采购扶持政策，由财政部会同有关部门另行规定。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第二十四条 省级财政部门可以会同中小企业主管部门根据本办法的规定制定具体实施办法。 </w:t>
      </w:r>
    </w:p>
    <w:p>
      <w:pPr>
        <w:widowControl/>
        <w:spacing w:line="360" w:lineRule="auto"/>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 xml:space="preserve">第二十五条 本办法自 2021 年 1 月 1 日起施行。《财政部 工业和信息化部关于印发〈政府采购促进中小企业发展暂行办法〉的通知》（财库﹝2011﹞181 号）同时废止。 </w:t>
      </w:r>
    </w:p>
    <w:p>
      <w:pPr>
        <w:pStyle w:val="3"/>
        <w:spacing w:line="360" w:lineRule="auto"/>
        <w:rPr>
          <w:rFonts w:hint="eastAsia" w:ascii="宋体" w:hAnsi="宋体" w:cs="宋体"/>
          <w:sz w:val="24"/>
          <w:highlight w:val="none"/>
        </w:rPr>
      </w:pPr>
      <w:r>
        <w:rPr>
          <w:rFonts w:hint="eastAsia" w:ascii="宋体" w:hAnsi="宋体" w:cs="宋体"/>
          <w:sz w:val="24"/>
          <w:highlight w:val="none"/>
        </w:rPr>
        <w:br w:type="page"/>
      </w:r>
    </w:p>
    <w:p>
      <w:pPr>
        <w:pStyle w:val="4"/>
        <w:rPr>
          <w:rFonts w:hint="eastAsia" w:ascii="宋体" w:hAnsi="宋体" w:eastAsia="宋体" w:cs="宋体"/>
          <w:spacing w:val="6"/>
          <w:sz w:val="24"/>
          <w:szCs w:val="24"/>
          <w:highlight w:val="none"/>
        </w:rPr>
      </w:pPr>
      <w:bookmarkStart w:id="9" w:name="_Toc8372"/>
      <w:bookmarkStart w:id="10" w:name="_Toc24438"/>
      <w:r>
        <w:rPr>
          <w:rFonts w:hint="eastAsia" w:ascii="宋体" w:hAnsi="宋体" w:eastAsia="宋体" w:cs="宋体"/>
          <w:spacing w:val="6"/>
          <w:sz w:val="24"/>
          <w:szCs w:val="24"/>
          <w:highlight w:val="none"/>
          <w:lang w:val="zh-CN"/>
        </w:rPr>
        <w:t>附件</w:t>
      </w:r>
      <w:r>
        <w:rPr>
          <w:rFonts w:hint="eastAsia" w:ascii="宋体" w:hAnsi="宋体" w:eastAsia="宋体" w:cs="宋体"/>
          <w:spacing w:val="6"/>
          <w:sz w:val="24"/>
          <w:szCs w:val="24"/>
          <w:highlight w:val="none"/>
        </w:rPr>
        <w:t>2：工信部联企业[2011]300号</w:t>
      </w:r>
      <w:bookmarkEnd w:id="9"/>
      <w:bookmarkEnd w:id="10"/>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各省、自治区、直辖市人民政府，国务院各部委及有关单位：</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adjustRightInd w:val="0"/>
        <w:snapToGrid w:val="0"/>
        <w:spacing w:line="360" w:lineRule="auto"/>
        <w:ind w:firstLine="444" w:firstLineChars="200"/>
        <w:jc w:val="right"/>
        <w:rPr>
          <w:rFonts w:hint="eastAsia" w:ascii="宋体" w:hAnsi="宋体" w:eastAsia="宋体" w:cs="宋体"/>
          <w:spacing w:val="6"/>
          <w:szCs w:val="21"/>
          <w:highlight w:val="none"/>
        </w:rPr>
      </w:pPr>
      <w:r>
        <w:rPr>
          <w:rFonts w:hint="eastAsia" w:ascii="宋体" w:hAnsi="宋体" w:eastAsia="宋体" w:cs="宋体"/>
          <w:spacing w:val="6"/>
          <w:szCs w:val="21"/>
          <w:highlight w:val="none"/>
        </w:rPr>
        <w:t>工业和信息化部 国家统计局</w:t>
      </w:r>
    </w:p>
    <w:p>
      <w:pPr>
        <w:adjustRightInd w:val="0"/>
        <w:snapToGrid w:val="0"/>
        <w:spacing w:line="360" w:lineRule="auto"/>
        <w:ind w:firstLine="444" w:firstLineChars="200"/>
        <w:jc w:val="right"/>
        <w:rPr>
          <w:rFonts w:hint="eastAsia" w:ascii="宋体" w:hAnsi="宋体" w:eastAsia="宋体" w:cs="宋体"/>
          <w:spacing w:val="6"/>
          <w:szCs w:val="21"/>
          <w:highlight w:val="none"/>
        </w:rPr>
      </w:pPr>
      <w:r>
        <w:rPr>
          <w:rFonts w:hint="eastAsia" w:ascii="宋体" w:hAnsi="宋体" w:eastAsia="宋体" w:cs="宋体"/>
          <w:spacing w:val="6"/>
          <w:szCs w:val="21"/>
          <w:highlight w:val="none"/>
        </w:rPr>
        <w:t>国家发展和改革委员会 财政部</w:t>
      </w:r>
    </w:p>
    <w:p>
      <w:pPr>
        <w:adjustRightInd w:val="0"/>
        <w:snapToGrid w:val="0"/>
        <w:spacing w:line="360" w:lineRule="auto"/>
        <w:ind w:firstLine="444" w:firstLineChars="200"/>
        <w:jc w:val="right"/>
        <w:rPr>
          <w:rFonts w:hint="eastAsia" w:ascii="宋体" w:hAnsi="宋体" w:eastAsia="宋体" w:cs="宋体"/>
          <w:spacing w:val="6"/>
          <w:szCs w:val="21"/>
          <w:highlight w:val="none"/>
        </w:rPr>
      </w:pPr>
      <w:r>
        <w:rPr>
          <w:rFonts w:hint="eastAsia" w:ascii="宋体" w:hAnsi="宋体" w:eastAsia="宋体" w:cs="宋体"/>
          <w:spacing w:val="6"/>
          <w:szCs w:val="21"/>
          <w:highlight w:val="none"/>
        </w:rPr>
        <w:t>二〇一一年六月十八日</w:t>
      </w:r>
    </w:p>
    <w:p>
      <w:pPr>
        <w:adjustRightInd w:val="0"/>
        <w:snapToGrid w:val="0"/>
        <w:spacing w:line="360" w:lineRule="auto"/>
        <w:ind w:firstLine="223" w:firstLineChars="100"/>
        <w:jc w:val="center"/>
        <w:rPr>
          <w:rFonts w:hint="eastAsia" w:ascii="宋体" w:hAnsi="宋体" w:eastAsia="宋体" w:cs="宋体"/>
          <w:b/>
          <w:bCs/>
          <w:spacing w:val="6"/>
          <w:szCs w:val="21"/>
          <w:highlight w:val="none"/>
        </w:rPr>
      </w:pPr>
      <w:r>
        <w:rPr>
          <w:rFonts w:hint="eastAsia" w:ascii="宋体" w:hAnsi="宋体" w:eastAsia="宋体" w:cs="宋体"/>
          <w:b/>
          <w:bCs/>
          <w:spacing w:val="6"/>
          <w:szCs w:val="21"/>
          <w:highlight w:val="none"/>
        </w:rPr>
        <w:t>中小企业划型标准规定：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一、根据《中华人民共和国中小企业促进法》和《国务院关于进一步促进中小企业发展的若干意见》(国发〔2009〕36号)，制定本规定。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二、中小企业划分为中型、小型、微型三种类型，具体标准根据企业从业人员、营业收入、资产总额等指标，结合行业特点制定。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三、本规定适用的行业包括：农、林、牧、渔业，工业（包括采矿业，制造业，电力、热力、燃气及水生产和供应业），建筑业，批发业，零售业，交通运输业（不含铁路运输业），仓储业，邮政业，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四、各行业划型标准为：</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（一）农、林、牧、渔业。营业收入20000万元以下的为中小微型企业。其中，营业收入500万元及以上的为中型企业，营业收入50万元及以上的为小型企业，营业收入50万元以下的为微型企业。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五、企业类型的划分以统计部门的统计数据为依据。</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六、本规定适用于在中华人民共和国境内依法设立的各类所有制和各种组织形式的企业。个体工商户和本规定以外的行业，参照本规定进行划型。</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八、本规定由工业和信息化部、国家统计局会同有关部门根据《国民经济行业分类》修订情况和企业发展变化情况适时修订。</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九、本规定由工业和信息化部、国家统计局会同有关部门负责解释。</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十、本规定自发布之日起执行，原国家经贸委、原国家计委、财政部和国家统计局2003年颁布的《中小企业标准暂行规定》同时废止。</w:t>
      </w:r>
    </w:p>
    <w:p>
      <w:pPr>
        <w:pStyle w:val="4"/>
        <w:rPr>
          <w:rStyle w:val="9"/>
          <w:b/>
          <w:bCs/>
          <w:highlight w:val="none"/>
          <w:lang w:val="zh-CN"/>
        </w:rPr>
      </w:pPr>
      <w:r>
        <w:rPr>
          <w:rFonts w:hint="eastAsia"/>
          <w:highlight w:val="none"/>
        </w:rPr>
        <w:br w:type="page"/>
      </w:r>
      <w:bookmarkStart w:id="11" w:name="_Toc16776"/>
      <w:bookmarkStart w:id="12" w:name="_Toc8663"/>
      <w:r>
        <w:rPr>
          <w:rStyle w:val="9"/>
          <w:b/>
          <w:bCs/>
          <w:highlight w:val="none"/>
          <w:lang w:val="zh-CN"/>
        </w:rPr>
        <w:t>附件3：国家统计局关于印发《统计上大中小微型企业划分办法（2017）》的通知</w:t>
      </w:r>
      <w:bookmarkEnd w:id="11"/>
      <w:bookmarkEnd w:id="12"/>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各省、自治区、直辖市统计局，新疆生产建设兵团统计局，国务院各有关部门，国家统计局各调查总队：</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附件：《统计上大中小微型企业划分办法（2017）》修订说明 </w:t>
      </w:r>
    </w:p>
    <w:p>
      <w:pPr>
        <w:adjustRightInd w:val="0"/>
        <w:snapToGrid w:val="0"/>
        <w:spacing w:line="360" w:lineRule="auto"/>
        <w:ind w:firstLine="444" w:firstLineChars="200"/>
        <w:jc w:val="right"/>
        <w:rPr>
          <w:rFonts w:hint="eastAsia" w:ascii="宋体" w:hAnsi="宋体" w:eastAsia="宋体" w:cs="宋体"/>
          <w:spacing w:val="6"/>
          <w:szCs w:val="21"/>
          <w:highlight w:val="none"/>
        </w:rPr>
      </w:pPr>
      <w:r>
        <w:rPr>
          <w:rFonts w:hint="eastAsia" w:ascii="宋体" w:hAnsi="宋体" w:eastAsia="宋体" w:cs="宋体"/>
          <w:spacing w:val="6"/>
          <w:szCs w:val="21"/>
          <w:highlight w:val="none"/>
        </w:rPr>
        <w:t>国家统计局  </w:t>
      </w:r>
    </w:p>
    <w:p>
      <w:pPr>
        <w:adjustRightInd w:val="0"/>
        <w:snapToGrid w:val="0"/>
        <w:spacing w:line="360" w:lineRule="auto"/>
        <w:ind w:firstLine="444" w:firstLineChars="200"/>
        <w:jc w:val="right"/>
        <w:rPr>
          <w:rFonts w:hint="eastAsia" w:ascii="宋体" w:hAnsi="宋体" w:eastAsia="宋体" w:cs="宋体"/>
          <w:spacing w:val="6"/>
          <w:szCs w:val="21"/>
          <w:highlight w:val="none"/>
        </w:rPr>
      </w:pPr>
      <w:r>
        <w:rPr>
          <w:rFonts w:hint="eastAsia" w:ascii="宋体" w:hAnsi="宋体" w:eastAsia="宋体" w:cs="宋体"/>
          <w:spacing w:val="6"/>
          <w:szCs w:val="21"/>
          <w:highlight w:val="none"/>
        </w:rPr>
        <w:t>2017年12月28日</w:t>
      </w:r>
    </w:p>
    <w:p>
      <w:pPr>
        <w:adjustRightInd w:val="0"/>
        <w:snapToGrid w:val="0"/>
        <w:spacing w:line="360" w:lineRule="auto"/>
        <w:ind w:firstLine="506" w:firstLineChars="200"/>
        <w:jc w:val="center"/>
        <w:rPr>
          <w:rFonts w:hint="eastAsia" w:ascii="宋体" w:hAnsi="宋体" w:eastAsia="宋体" w:cs="宋体"/>
          <w:b/>
          <w:bCs/>
          <w:spacing w:val="6"/>
          <w:sz w:val="24"/>
          <w:highlight w:val="none"/>
        </w:rPr>
      </w:pPr>
      <w:r>
        <w:rPr>
          <w:rFonts w:hint="eastAsia" w:ascii="宋体" w:hAnsi="宋体" w:eastAsia="宋体" w:cs="宋体"/>
          <w:b/>
          <w:bCs/>
          <w:spacing w:val="6"/>
          <w:sz w:val="24"/>
          <w:highlight w:val="none"/>
        </w:rPr>
        <w:t>统计上大中小微型企业划分办法（2017）</w:t>
      </w:r>
    </w:p>
    <w:p>
      <w:pPr>
        <w:adjustRightInd w:val="0"/>
        <w:snapToGrid w:val="0"/>
        <w:spacing w:line="360" w:lineRule="auto"/>
        <w:ind w:firstLine="504" w:firstLineChars="200"/>
        <w:rPr>
          <w:rFonts w:hint="eastAsia" w:ascii="宋体" w:hAnsi="宋体" w:eastAsia="宋体" w:cs="宋体"/>
          <w:spacing w:val="6"/>
          <w:szCs w:val="21"/>
          <w:highlight w:val="none"/>
        </w:rPr>
      </w:pPr>
      <w:r>
        <w:rPr>
          <w:rFonts w:hint="eastAsia" w:ascii="宋体" w:hAnsi="宋体" w:eastAsia="宋体" w:cs="宋体"/>
          <w:spacing w:val="6"/>
          <w:sz w:val="24"/>
          <w:highlight w:val="none"/>
        </w:rPr>
        <w:t>　</w:t>
      </w:r>
      <w:r>
        <w:rPr>
          <w:rFonts w:hint="eastAsia" w:ascii="宋体" w:hAnsi="宋体" w:eastAsia="宋体" w:cs="宋体"/>
          <w:spacing w:val="6"/>
          <w:szCs w:val="21"/>
          <w:highlight w:val="none"/>
        </w:rPr>
        <w:t>　一、根据工业和信息化部、国家统计局、国家发展改革委、财政部《关于印发中小企业划型标准规定的通知》（工信部联企业〔2011〕300号），以《国民经济行业分类》（GB/T4754-2017）为基础，结合统计工作的实际情况，制定本办法。</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二、本办法适用对象为在中华人民共和国境内依法设立的各种组织形式的法人企业或单位。个体工商户参照本办法进行划分。</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四、本办法按照行业门类、大类、中类和组合类别，依据从业人员、营业收入、资产总额等指标或替代指标，将我国的企业划分为大型、中型、小型、微型等四种类型。具体划分标准见附表。</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五、企业划分由政府综合统计部门根据统计年报每年确定一次，定报统计原则上不进行调整。</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六、本办法自印发之日起执行，国家统计局2011年印发的《统计上大中小微型企业划分办法》（国统字〔2011〕75号）同时废止。</w:t>
      </w:r>
    </w:p>
    <w:p>
      <w:pPr>
        <w:adjustRightInd w:val="0"/>
        <w:snapToGrid w:val="0"/>
        <w:spacing w:line="360" w:lineRule="auto"/>
        <w:ind w:firstLine="446" w:firstLineChars="200"/>
        <w:jc w:val="center"/>
        <w:rPr>
          <w:rFonts w:hint="eastAsia" w:ascii="宋体" w:hAnsi="宋体" w:eastAsia="宋体" w:cs="宋体"/>
          <w:b/>
          <w:bCs/>
          <w:spacing w:val="6"/>
          <w:szCs w:val="21"/>
          <w:highlight w:val="none"/>
        </w:rPr>
      </w:pPr>
      <w:r>
        <w:rPr>
          <w:rFonts w:hint="eastAsia" w:ascii="宋体" w:hAnsi="宋体" w:eastAsia="宋体" w:cs="宋体"/>
          <w:b/>
          <w:bCs/>
          <w:spacing w:val="6"/>
          <w:szCs w:val="21"/>
          <w:highlight w:val="none"/>
        </w:rPr>
        <w:t>附表：统计上大中小微型企业划分标准</w:t>
      </w:r>
    </w:p>
    <w:tbl>
      <w:tblPr>
        <w:tblStyle w:val="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827"/>
        <w:gridCol w:w="1007"/>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13"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行业名称</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指标名称</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计量</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单位</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大型</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中型</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小型</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农、林、牧、渔业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Y≥20000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500≤Y＜20000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50≤Y＜500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工业 *</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20≤X＜300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Y≥40000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2000≤Y＜40000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300≤Y＜2000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建筑业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Y≥80000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6000≤Y＜80000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300≤Y＜6000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Z≥80000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5000≤Z＜80000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300≤Z＜5000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批发业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20≤X＜200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5≤X＜20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Y≥40000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5000≤Y＜40000</w:t>
            </w:r>
          </w:p>
        </w:tc>
        <w:tc>
          <w:tcPr>
            <w:tcW w:w="1426" w:type="dxa"/>
            <w:noWrap w:val="0"/>
            <w:vAlign w:val="center"/>
          </w:tcPr>
          <w:p>
            <w:pPr>
              <w:keepNext w:val="0"/>
              <w:keepLines w:val="0"/>
              <w:widowControl/>
              <w:suppressLineNumbers w:val="0"/>
              <w:spacing w:before="0" w:beforeAutospacing="0" w:after="0" w:afterAutospacing="0" w:line="360" w:lineRule="auto"/>
              <w:ind w:left="-1" w:leftChars="-1" w:right="0" w:hanging="1"/>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1000≤Y＜5000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零售业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X≥300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50≤X＜300</w:t>
            </w:r>
          </w:p>
        </w:tc>
        <w:tc>
          <w:tcPr>
            <w:tcW w:w="1426" w:type="dxa"/>
            <w:noWrap w:val="0"/>
            <w:vAlign w:val="center"/>
          </w:tcPr>
          <w:p>
            <w:pPr>
              <w:keepNext w:val="0"/>
              <w:keepLines w:val="0"/>
              <w:widowControl/>
              <w:suppressLineNumbers w:val="0"/>
              <w:spacing w:before="0" w:beforeAutospacing="0" w:after="0" w:afterAutospacing="0" w:line="360" w:lineRule="auto"/>
              <w:ind w:left="-1" w:leftChars="-1" w:right="0" w:hanging="1"/>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10≤X＜50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Y≥20000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500≤Y＜20000</w:t>
            </w:r>
          </w:p>
        </w:tc>
        <w:tc>
          <w:tcPr>
            <w:tcW w:w="1426" w:type="dxa"/>
            <w:noWrap w:val="0"/>
            <w:vAlign w:val="center"/>
          </w:tcPr>
          <w:p>
            <w:pPr>
              <w:keepNext w:val="0"/>
              <w:keepLines w:val="0"/>
              <w:widowControl/>
              <w:suppressLineNumbers w:val="0"/>
              <w:spacing w:before="0" w:beforeAutospacing="0" w:after="0" w:afterAutospacing="0" w:line="360" w:lineRule="auto"/>
              <w:ind w:left="-1" w:leftChars="-1" w:right="0" w:hanging="1"/>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100≤Y＜500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交通运输业 *</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20≤X＜300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3000≤Y＜30000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200≤Y＜3000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仓储业*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100≤X＜200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1000≤Y＜30000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邮政业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20≤X＜300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Y≥30000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2000≤Y＜30000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住宿业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X≥300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2000≤Y＜10000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餐饮业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X≥300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2000≤Y＜10000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信息传输业 *</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X≥2000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100≤X＜2000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1000≤Y＜100000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2"/>
                <w:kern w:val="0"/>
                <w:szCs w:val="21"/>
                <w:highlight w:val="none"/>
              </w:rPr>
            </w:pPr>
            <w:r>
              <w:rPr>
                <w:rFonts w:hint="eastAsia" w:ascii="宋体" w:hAnsi="宋体" w:eastAsia="宋体" w:cs="宋体"/>
                <w:spacing w:val="-12"/>
                <w:kern w:val="0"/>
                <w:szCs w:val="21"/>
                <w:highlight w:val="none"/>
              </w:rPr>
              <w:t>软件和信息技术服</w:t>
            </w:r>
            <w:r>
              <w:rPr>
                <w:rFonts w:hint="eastAsia" w:ascii="宋体" w:hAnsi="宋体" w:eastAsia="宋体" w:cs="宋体"/>
                <w:kern w:val="0"/>
                <w:szCs w:val="21"/>
                <w:highlight w:val="none"/>
              </w:rPr>
              <w:t>务业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X≥300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12"/>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1000≤Y＜10000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50≤Y＜1000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房地产开发经营</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Y≥200000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1000≤Y＜200000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Z≥10000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5000≤Z＜10000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2000≤Z＜5000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物业管理</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300≤X＜1000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1000≤Y＜5000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500≤Y＜1000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租赁和商务服务业</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X≥300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13" w:type="dxa"/>
            <w:vMerge w:val="continue"/>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Z≥120000</w:t>
            </w:r>
          </w:p>
        </w:tc>
        <w:tc>
          <w:tcPr>
            <w:tcW w:w="1701"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8000≤Z＜120000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100≤Z＜8000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其他未列明行业 *</w:t>
            </w:r>
          </w:p>
        </w:tc>
        <w:tc>
          <w:tcPr>
            <w:tcW w:w="1369"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从业人员(X)</w:t>
            </w:r>
          </w:p>
        </w:tc>
        <w:tc>
          <w:tcPr>
            <w:tcW w:w="82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1007"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X≥300</w:t>
            </w:r>
          </w:p>
        </w:tc>
        <w:tc>
          <w:tcPr>
            <w:tcW w:w="1701" w:type="dxa"/>
            <w:noWrap w:val="0"/>
            <w:vAlign w:val="center"/>
          </w:tcPr>
          <w:p>
            <w:pPr>
              <w:keepNext w:val="0"/>
              <w:keepLines w:val="0"/>
              <w:widowControl/>
              <w:suppressLineNumbers w:val="0"/>
              <w:spacing w:before="0" w:beforeAutospacing="0" w:after="0" w:afterAutospacing="0" w:line="360" w:lineRule="auto"/>
              <w:ind w:left="19" w:leftChars="-51" w:right="0" w:hanging="126" w:hangingChars="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100≤X＜300</w:t>
            </w:r>
          </w:p>
        </w:tc>
        <w:tc>
          <w:tcPr>
            <w:tcW w:w="1426"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10≤X＜100</w:t>
            </w:r>
          </w:p>
        </w:tc>
        <w:tc>
          <w:tcPr>
            <w:tcW w:w="992"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X＜10</w:t>
            </w:r>
          </w:p>
        </w:tc>
      </w:tr>
    </w:tbl>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说明：</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1.大型、中型和小型企业须同时满足所列指标的下限，否则下划一档；微型企业只须满足所列指标中的一项即可。</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adjustRightInd w:val="0"/>
        <w:snapToGrid w:val="0"/>
        <w:spacing w:line="360" w:lineRule="auto"/>
        <w:ind w:firstLine="444" w:firstLineChars="200"/>
        <w:rPr>
          <w:rFonts w:hint="eastAsia" w:ascii="宋体" w:hAnsi="宋体" w:eastAsia="宋体" w:cs="宋体"/>
          <w:spacing w:val="6"/>
          <w:szCs w:val="21"/>
          <w:highlight w:val="none"/>
        </w:rPr>
      </w:pPr>
      <w:r>
        <w:rPr>
          <w:rFonts w:hint="eastAsia" w:ascii="宋体" w:hAnsi="宋体" w:eastAsia="宋体" w:cs="宋体"/>
          <w:spacing w:val="6"/>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
        <w:rPr>
          <w:rStyle w:val="9"/>
          <w:b/>
          <w:bCs/>
          <w:highlight w:val="none"/>
          <w:lang w:val="zh-CN"/>
        </w:rPr>
      </w:pPr>
      <w:r>
        <w:rPr>
          <w:rFonts w:hint="eastAsia"/>
          <w:highlight w:val="none"/>
        </w:rPr>
        <w:br w:type="page"/>
      </w:r>
      <w:bookmarkStart w:id="13" w:name="_Toc29158"/>
      <w:bookmarkStart w:id="14" w:name="_Toc11348"/>
      <w:r>
        <w:rPr>
          <w:rStyle w:val="9"/>
          <w:b/>
          <w:bCs/>
          <w:highlight w:val="none"/>
          <w:lang w:val="zh-CN"/>
        </w:rPr>
        <w:t>附件4：关于促进残疾人就业政府采购政策的通知</w:t>
      </w:r>
      <w:bookmarkEnd w:id="13"/>
      <w:bookmarkEnd w:id="14"/>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为了发挥政府采购促进残疾人就业的作用，进一步保障残疾人权益，依照《政府采购法》、《残疾人保障法》等法律法规及相关规定，现就促进残疾人就业政府采购政策通知如下：</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一、享受政府采购支持政策的残疾人福利性单位应当同时满足以下条件：</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(一) 安置的残疾人占本单位在职职工人数的比例不低于25%(含25%)，并且安置的残疾人人数不少于10人(含10人)；</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(二) 依法与安置的每位残疾人签订了一年以上(含一年)的劳动合同或服务协议；</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(三) 为安置的每位残疾人按月足额缴纳了基本养老保险、基本医疗保险、失业保险、工伤保险和生育保险等社会保险费；</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(四) 通过银行等金融机构向安置的每位残疾人，按月支付了不低于单位所在区县适用的经省级人民政府批准的月最低工资标准的工资；</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(五) 提供本单位制造的货物、承担的工程或者服务(以下简称产品)，或者提供其他残疾人福利性单位制造的货物(不包括使用非残疾人福利性单位注册商标的货物)。</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中标、成交供应商为残疾人福利性单位的，采购人或者其委托的采购代理机构应当随中标、成交结果同时公告其《残疾人福利性单位声明函》，接受社会监督。</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供应商提供的《残疾人福利性单位声明函》与事实不符的，依照《政府采购法》第七十七条第一款的规定追究法律责任。</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四、采购人采购公开招标数额标准以上的货物或者服务，因落实促进残疾人就业政策的需要，依法履行有关报批程序后，可采用公开招标以外的采购方式。</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wordWrap w:val="0"/>
        <w:spacing w:line="360" w:lineRule="auto"/>
        <w:ind w:firstLine="420"/>
        <w:jc w:val="left"/>
        <w:rPr>
          <w:rFonts w:hint="eastAsia" w:ascii="宋体" w:hAnsi="宋体" w:eastAsia="宋体" w:cs="宋体"/>
          <w:szCs w:val="21"/>
          <w:highlight w:val="none"/>
        </w:rPr>
      </w:pPr>
      <w:r>
        <w:rPr>
          <w:rFonts w:hint="eastAsia" w:ascii="宋体" w:hAnsi="宋体" w:eastAsia="宋体" w:cs="宋体"/>
          <w:kern w:val="0"/>
          <w:szCs w:val="21"/>
          <w:highlight w:val="none"/>
          <w:lang w:bidi="ar"/>
        </w:rPr>
        <w:t>七、本通知自</w:t>
      </w:r>
      <w:r>
        <w:rPr>
          <w:rStyle w:val="8"/>
          <w:rFonts w:hint="eastAsia" w:ascii="宋体" w:hAnsi="宋体" w:eastAsia="宋体" w:cs="宋体"/>
          <w:kern w:val="0"/>
          <w:szCs w:val="21"/>
          <w:highlight w:val="none"/>
          <w:lang w:bidi="ar"/>
        </w:rPr>
        <w:t>2017年10月1日</w:t>
      </w:r>
      <w:r>
        <w:rPr>
          <w:rFonts w:hint="eastAsia" w:ascii="宋体" w:hAnsi="宋体" w:eastAsia="宋体" w:cs="宋体"/>
          <w:kern w:val="0"/>
          <w:szCs w:val="21"/>
          <w:highlight w:val="none"/>
          <w:lang w:bidi="ar"/>
        </w:rPr>
        <w:t>起执行。</w:t>
      </w:r>
    </w:p>
    <w:p>
      <w:pPr>
        <w:widowControl/>
        <w:wordWrap w:val="0"/>
        <w:spacing w:line="360" w:lineRule="auto"/>
        <w:ind w:firstLine="420"/>
        <w:jc w:val="right"/>
        <w:rPr>
          <w:rFonts w:hint="eastAsia" w:ascii="宋体" w:hAnsi="宋体" w:eastAsia="宋体" w:cs="宋体"/>
          <w:szCs w:val="21"/>
          <w:highlight w:val="none"/>
        </w:rPr>
      </w:pPr>
      <w:r>
        <w:rPr>
          <w:rFonts w:hint="eastAsia" w:ascii="宋体" w:hAnsi="宋体" w:eastAsia="宋体" w:cs="宋体"/>
          <w:kern w:val="0"/>
          <w:szCs w:val="21"/>
          <w:highlight w:val="none"/>
          <w:lang w:bidi="ar"/>
        </w:rPr>
        <w:t>　　财政部 民政部 中国残疾人联合会</w:t>
      </w:r>
    </w:p>
    <w:p>
      <w:pPr>
        <w:widowControl/>
        <w:wordWrap w:val="0"/>
        <w:spacing w:line="360" w:lineRule="auto"/>
        <w:ind w:firstLine="420"/>
        <w:jc w:val="right"/>
        <w:rPr>
          <w:rFonts w:hint="eastAsia" w:ascii="宋体" w:hAnsi="宋体" w:cs="宋体"/>
          <w:spacing w:val="6"/>
          <w:szCs w:val="21"/>
          <w:highlight w:val="none"/>
          <w:lang w:val="zh-CN"/>
        </w:rPr>
      </w:pPr>
      <w:r>
        <w:rPr>
          <w:rFonts w:hint="eastAsia" w:ascii="宋体" w:hAnsi="宋体" w:eastAsia="宋体" w:cs="宋体"/>
          <w:kern w:val="0"/>
          <w:szCs w:val="21"/>
          <w:highlight w:val="none"/>
          <w:lang w:bidi="ar"/>
        </w:rPr>
        <w:t>　　2017年8月22日</w:t>
      </w:r>
    </w:p>
    <w:p>
      <w:pPr>
        <w:pStyle w:val="10"/>
        <w:ind w:firstLine="0" w:firstLineChars="0"/>
        <w:rPr>
          <w:rFonts w:ascii="宋体" w:hAnsi="宋体" w:cs="宋体"/>
          <w:b/>
          <w:bCs/>
          <w:kern w:val="2"/>
          <w:szCs w:val="24"/>
          <w:highlight w:val="none"/>
        </w:rPr>
      </w:pPr>
      <w:r>
        <w:rPr>
          <w:rFonts w:hint="eastAsia" w:ascii="宋体" w:hAnsi="宋体" w:cs="宋体"/>
          <w:b/>
          <w:bCs/>
          <w:kern w:val="2"/>
          <w:szCs w:val="24"/>
          <w:highlight w:val="none"/>
        </w:rPr>
        <w:t>(特别说明：投标人提供虚假承诺的，将做无效投标处理，涉嫌存在违法违规行为的，依法报主管部门处理处罚。)</w:t>
      </w: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580F0B4B"/>
    <w:rsid w:val="580F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4"/>
    <w:basedOn w:val="1"/>
    <w:next w:val="1"/>
    <w:link w:val="9"/>
    <w:qFormat/>
    <w:uiPriority w:val="0"/>
    <w:pPr>
      <w:keepNext/>
      <w:keepLines/>
      <w:spacing w:before="280" w:beforeLines="0" w:after="290" w:afterLines="0" w:line="374" w:lineRule="auto"/>
      <w:outlineLvl w:val="3"/>
    </w:pPr>
    <w:rPr>
      <w:rFonts w:ascii="Arial" w:hAnsi="Arial" w:eastAsia="宋体"/>
      <w:b/>
      <w:bCs/>
      <w:sz w:val="24"/>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character" w:styleId="8">
    <w:name w:val="Strong"/>
    <w:basedOn w:val="7"/>
    <w:qFormat/>
    <w:uiPriority w:val="0"/>
    <w:rPr>
      <w:b/>
      <w:bCs/>
    </w:rPr>
  </w:style>
  <w:style w:type="character" w:customStyle="1" w:styleId="9">
    <w:name w:val="标题 4 Char1"/>
    <w:link w:val="5"/>
    <w:qFormat/>
    <w:uiPriority w:val="0"/>
    <w:rPr>
      <w:rFonts w:ascii="Arial" w:hAnsi="Arial" w:eastAsia="宋体"/>
      <w:b/>
      <w:bCs/>
      <w:sz w:val="24"/>
      <w:szCs w:val="28"/>
    </w:rPr>
  </w:style>
  <w:style w:type="paragraph" w:customStyle="1" w:styleId="10">
    <w:name w:val="*正文"/>
    <w:basedOn w:val="1"/>
    <w:qFormat/>
    <w:uiPriority w:val="0"/>
    <w:pPr>
      <w:widowControl/>
      <w:spacing w:line="360" w:lineRule="auto"/>
      <w:ind w:firstLine="200" w:firstLineChars="200"/>
      <w:jc w:val="left"/>
    </w:pPr>
    <w:rPr>
      <w:rFonts w:ascii="仿宋_GB2312"/>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2022-09-06T06:45:00Z</dcterms:created>
  <dc:creator>深圳市正德招标代理有限公司</dc:creator>
  <cp:lastModifiedBy>深圳市正德招标代理有限公司</cp:lastModifiedBy>
  <dcterms:modified xsi:type="dcterms:W3CDTF">2022-09-06T06:46:24Z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21D2B612DBC543D7BCA3A873EDDFE9D7</vt:lpwstr>
  </property>
</Properties>
</file>